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EE" w:rsidRPr="001F6EEE" w:rsidRDefault="001F6EEE" w:rsidP="001F6EEE">
      <w:pPr>
        <w:shd w:val="clear" w:color="auto" w:fill="FFFFFF"/>
        <w:spacing w:after="100" w:afterAutospacing="1" w:line="240" w:lineRule="auto"/>
        <w:outlineLvl w:val="1"/>
        <w:rPr>
          <w:rFonts w:ascii="inherit" w:eastAsia="Times New Roman" w:hAnsi="inherit" w:cs="Segoe UI"/>
          <w:color w:val="444444"/>
          <w:sz w:val="36"/>
          <w:szCs w:val="36"/>
          <w:lang w:val="es-ES" w:eastAsia="es-ES"/>
        </w:rPr>
      </w:pPr>
      <w:r w:rsidRPr="001F6EEE">
        <w:rPr>
          <w:rFonts w:ascii="inherit" w:eastAsia="Times New Roman" w:hAnsi="inherit" w:cs="Segoe UI"/>
          <w:color w:val="444444"/>
          <w:sz w:val="36"/>
          <w:szCs w:val="36"/>
          <w:lang w:val="es-ES" w:eastAsia="es-ES"/>
        </w:rPr>
        <w:t>Nuevo reparto de los gastos de hipoteca</w:t>
      </w:r>
    </w:p>
    <w:p w:rsidR="001F6EEE" w:rsidRPr="001F6EEE" w:rsidRDefault="001F6EEE" w:rsidP="001F6EEE">
      <w:pPr>
        <w:shd w:val="clear" w:color="auto" w:fill="FFFFFF"/>
        <w:spacing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Lo más mediático de la Ley reguladora de los Contratos de Crédito Inmobiliario propuesta por el Congreso de los Diputados es el </w:t>
      </w:r>
      <w:hyperlink r:id="rId5" w:history="1">
        <w:r w:rsidRPr="001F6EEE">
          <w:rPr>
            <w:rFonts w:ascii="Segoe UI" w:eastAsia="Times New Roman" w:hAnsi="Segoe UI" w:cs="Segoe UI"/>
            <w:b/>
            <w:bCs/>
            <w:color w:val="016799"/>
            <w:sz w:val="24"/>
            <w:szCs w:val="24"/>
            <w:lang w:val="es-ES" w:eastAsia="es-ES"/>
          </w:rPr>
          <w:t>nuevo reparto de los gastos de constitución de las hipotecas</w:t>
        </w:r>
      </w:hyperlink>
      <w:r w:rsidRPr="001F6EEE">
        <w:rPr>
          <w:rFonts w:ascii="Segoe UI" w:eastAsia="Times New Roman" w:hAnsi="Segoe UI" w:cs="Segoe UI"/>
          <w:color w:val="555555"/>
          <w:sz w:val="24"/>
          <w:szCs w:val="24"/>
          <w:lang w:val="es-ES" w:eastAsia="es-ES"/>
        </w:rPr>
        <w:t>, es decir, de aquellos que hay que abonar por la escrituración y registro del préstamo. Veamos quién paga qué con la nueva ley:</w:t>
      </w:r>
    </w:p>
    <w:tbl>
      <w:tblPr>
        <w:tblW w:w="5000" w:type="pct"/>
        <w:tblCellMar>
          <w:top w:w="15" w:type="dxa"/>
          <w:left w:w="15" w:type="dxa"/>
          <w:bottom w:w="15" w:type="dxa"/>
          <w:right w:w="15" w:type="dxa"/>
        </w:tblCellMar>
        <w:tblLook w:val="04A0"/>
      </w:tblPr>
      <w:tblGrid>
        <w:gridCol w:w="4464"/>
        <w:gridCol w:w="4070"/>
      </w:tblGrid>
      <w:tr w:rsidR="001F6EEE" w:rsidRPr="001F6EEE" w:rsidTr="001F6EEE">
        <w:trPr>
          <w:tblHeader/>
        </w:trPr>
        <w:tc>
          <w:tcPr>
            <w:tcW w:w="0" w:type="auto"/>
            <w:shd w:val="clear" w:color="auto" w:fill="auto"/>
            <w:vAlign w:val="center"/>
            <w:hideMark/>
          </w:tcPr>
          <w:p w:rsidR="001F6EEE" w:rsidRPr="001F6EEE" w:rsidRDefault="001F6EEE" w:rsidP="001F6EEE">
            <w:pPr>
              <w:spacing w:after="0" w:line="240" w:lineRule="auto"/>
              <w:jc w:val="center"/>
              <w:rPr>
                <w:rFonts w:ascii="Segoe UI" w:eastAsia="Times New Roman" w:hAnsi="Segoe UI" w:cs="Segoe UI"/>
                <w:color w:val="555555"/>
                <w:sz w:val="24"/>
                <w:szCs w:val="24"/>
                <w:lang w:val="es-ES" w:eastAsia="es-ES"/>
              </w:rPr>
            </w:pPr>
            <w:r w:rsidRPr="001F6EEE">
              <w:rPr>
                <w:rFonts w:ascii="Segoe UI" w:eastAsia="Times New Roman" w:hAnsi="Segoe UI" w:cs="Segoe UI"/>
                <w:b/>
                <w:bCs/>
                <w:color w:val="555555"/>
                <w:sz w:val="24"/>
                <w:szCs w:val="24"/>
                <w:lang w:val="es-ES" w:eastAsia="es-ES"/>
              </w:rPr>
              <w:t>A pagar por el banco</w:t>
            </w:r>
          </w:p>
        </w:tc>
        <w:tc>
          <w:tcPr>
            <w:tcW w:w="0" w:type="auto"/>
            <w:shd w:val="clear" w:color="auto" w:fill="auto"/>
            <w:vAlign w:val="center"/>
            <w:hideMark/>
          </w:tcPr>
          <w:p w:rsidR="001F6EEE" w:rsidRPr="001F6EEE" w:rsidRDefault="001F6EEE" w:rsidP="001F6EEE">
            <w:pPr>
              <w:spacing w:after="0" w:line="240" w:lineRule="auto"/>
              <w:jc w:val="center"/>
              <w:rPr>
                <w:rFonts w:ascii="Segoe UI" w:eastAsia="Times New Roman" w:hAnsi="Segoe UI" w:cs="Segoe UI"/>
                <w:color w:val="555555"/>
                <w:sz w:val="24"/>
                <w:szCs w:val="24"/>
                <w:lang w:val="es-ES" w:eastAsia="es-ES"/>
              </w:rPr>
            </w:pPr>
            <w:r w:rsidRPr="001F6EEE">
              <w:rPr>
                <w:rFonts w:ascii="Segoe UI" w:eastAsia="Times New Roman" w:hAnsi="Segoe UI" w:cs="Segoe UI"/>
                <w:b/>
                <w:bCs/>
                <w:color w:val="555555"/>
                <w:sz w:val="24"/>
                <w:szCs w:val="24"/>
                <w:lang w:val="es-ES" w:eastAsia="es-ES"/>
              </w:rPr>
              <w:t>A pagar por el cliente</w:t>
            </w:r>
          </w:p>
        </w:tc>
      </w:tr>
      <w:tr w:rsidR="001F6EEE" w:rsidRPr="001F6EEE" w:rsidTr="001F6EEE">
        <w:trPr>
          <w:tblHeader/>
        </w:trPr>
        <w:tc>
          <w:tcPr>
            <w:tcW w:w="0" w:type="auto"/>
            <w:shd w:val="clear" w:color="auto" w:fill="auto"/>
            <w:vAlign w:val="center"/>
            <w:hideMark/>
          </w:tcPr>
          <w:p w:rsidR="001F6EEE" w:rsidRPr="001F6EEE" w:rsidRDefault="001F6EEE" w:rsidP="001F6EEE">
            <w:pPr>
              <w:numPr>
                <w:ilvl w:val="0"/>
                <w:numId w:val="1"/>
              </w:numPr>
              <w:spacing w:before="100" w:beforeAutospacing="1"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La gestoría</w:t>
            </w:r>
          </w:p>
          <w:p w:rsidR="001F6EEE" w:rsidRPr="001F6EEE" w:rsidRDefault="001F6EEE" w:rsidP="001F6EEE">
            <w:pPr>
              <w:numPr>
                <w:ilvl w:val="0"/>
                <w:numId w:val="1"/>
              </w:numPr>
              <w:spacing w:before="100" w:beforeAutospacing="1"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El registro</w:t>
            </w:r>
            <w:r>
              <w:rPr>
                <w:rFonts w:ascii="Segoe UI" w:eastAsia="Times New Roman" w:hAnsi="Segoe UI" w:cs="Segoe UI"/>
                <w:color w:val="555555"/>
                <w:sz w:val="24"/>
                <w:szCs w:val="24"/>
                <w:lang w:val="es-ES" w:eastAsia="es-ES"/>
              </w:rPr>
              <w:t xml:space="preserve"> de la Propiedad</w:t>
            </w:r>
          </w:p>
          <w:p w:rsidR="001F6EEE" w:rsidRPr="001F6EEE" w:rsidRDefault="001F6EEE" w:rsidP="001F6EEE">
            <w:pPr>
              <w:numPr>
                <w:ilvl w:val="0"/>
                <w:numId w:val="1"/>
              </w:numPr>
              <w:spacing w:before="100" w:beforeAutospacing="1"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La notaría</w:t>
            </w:r>
          </w:p>
          <w:p w:rsidR="001F6EEE" w:rsidRPr="001F6EEE" w:rsidRDefault="001F6EEE" w:rsidP="001F6EEE">
            <w:pPr>
              <w:numPr>
                <w:ilvl w:val="0"/>
                <w:numId w:val="1"/>
              </w:numPr>
              <w:spacing w:before="100" w:beforeAutospacing="1"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El IAJD</w:t>
            </w:r>
          </w:p>
          <w:p w:rsidR="001F6EEE" w:rsidRPr="001F6EEE" w:rsidRDefault="001F6EEE" w:rsidP="001F6EEE">
            <w:pPr>
              <w:numPr>
                <w:ilvl w:val="0"/>
                <w:numId w:val="1"/>
              </w:numPr>
              <w:spacing w:before="100" w:beforeAutospacing="1"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Su copia de la escritura</w:t>
            </w:r>
          </w:p>
        </w:tc>
        <w:tc>
          <w:tcPr>
            <w:tcW w:w="0" w:type="auto"/>
            <w:shd w:val="clear" w:color="auto" w:fill="auto"/>
            <w:vAlign w:val="center"/>
            <w:hideMark/>
          </w:tcPr>
          <w:p w:rsidR="001F6EEE" w:rsidRPr="001F6EEE" w:rsidRDefault="001F6EEE" w:rsidP="001F6EEE">
            <w:pPr>
              <w:numPr>
                <w:ilvl w:val="0"/>
                <w:numId w:val="2"/>
              </w:numPr>
              <w:spacing w:before="100" w:beforeAutospacing="1"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La tasación</w:t>
            </w:r>
          </w:p>
          <w:p w:rsidR="001F6EEE" w:rsidRPr="001F6EEE" w:rsidRDefault="001F6EEE" w:rsidP="001F6EEE">
            <w:pPr>
              <w:numPr>
                <w:ilvl w:val="0"/>
                <w:numId w:val="2"/>
              </w:numPr>
              <w:spacing w:before="100" w:beforeAutospacing="1"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Su copia de la escritura</w:t>
            </w:r>
          </w:p>
        </w:tc>
      </w:tr>
    </w:tbl>
    <w:p w:rsidR="001F6EEE" w:rsidRPr="001F6EEE" w:rsidRDefault="001F6EEE" w:rsidP="001F6EEE">
      <w:pPr>
        <w:shd w:val="clear" w:color="auto" w:fill="FFFFFF"/>
        <w:spacing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Como vemos, este reparto supone una mejora clara para el consumidor, que por ahora soporta la mayoría de las costas.</w:t>
      </w:r>
    </w:p>
    <w:p w:rsidR="001F6EEE" w:rsidRPr="001F6EEE" w:rsidRDefault="001F6EEE" w:rsidP="001F6EEE">
      <w:pPr>
        <w:shd w:val="clear" w:color="auto" w:fill="FFFFFF"/>
        <w:spacing w:after="0"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 xml:space="preserve">Si se produce una </w:t>
      </w:r>
      <w:hyperlink r:id="rId6" w:history="1">
        <w:r w:rsidRPr="001F6EEE">
          <w:rPr>
            <w:rFonts w:ascii="Segoe UI" w:eastAsia="Times New Roman" w:hAnsi="Segoe UI" w:cs="Segoe UI"/>
            <w:b/>
            <w:bCs/>
            <w:color w:val="016799"/>
            <w:sz w:val="24"/>
            <w:szCs w:val="24"/>
            <w:lang w:val="es-ES" w:eastAsia="es-ES"/>
          </w:rPr>
          <w:t>subrogación de acreedor para trasladar la hipoteca a otro banco</w:t>
        </w:r>
      </w:hyperlink>
      <w:r w:rsidRPr="001F6EEE">
        <w:rPr>
          <w:rFonts w:ascii="Segoe UI" w:eastAsia="Times New Roman" w:hAnsi="Segoe UI" w:cs="Segoe UI"/>
          <w:color w:val="555555"/>
          <w:sz w:val="24"/>
          <w:szCs w:val="24"/>
          <w:lang w:val="es-ES" w:eastAsia="es-ES"/>
        </w:rPr>
        <w:t>, el nuevo banco tiene que pagarle una compensación al antiguo, que es la parte proporcional a los gastos de constitución que se abonarían por el importe pendiente.</w:t>
      </w:r>
    </w:p>
    <w:p w:rsidR="001F6EEE" w:rsidRDefault="001F6EEE" w:rsidP="001F6EEE">
      <w:pPr>
        <w:shd w:val="clear" w:color="auto" w:fill="FFFFFF"/>
        <w:spacing w:after="100" w:afterAutospacing="1" w:line="240" w:lineRule="auto"/>
        <w:outlineLvl w:val="1"/>
        <w:rPr>
          <w:rFonts w:ascii="inherit" w:eastAsia="Times New Roman" w:hAnsi="inherit" w:cs="Segoe UI"/>
          <w:color w:val="444444"/>
          <w:sz w:val="36"/>
          <w:szCs w:val="36"/>
          <w:lang w:val="es-ES" w:eastAsia="es-ES"/>
        </w:rPr>
      </w:pPr>
    </w:p>
    <w:p w:rsidR="001F6EEE" w:rsidRPr="001F6EEE" w:rsidRDefault="001F6EEE" w:rsidP="001F6EEE">
      <w:pPr>
        <w:shd w:val="clear" w:color="auto" w:fill="FFFFFF"/>
        <w:spacing w:after="100" w:afterAutospacing="1" w:line="240" w:lineRule="auto"/>
        <w:outlineLvl w:val="1"/>
        <w:rPr>
          <w:rFonts w:ascii="inherit" w:eastAsia="Times New Roman" w:hAnsi="inherit" w:cs="Segoe UI"/>
          <w:color w:val="444444"/>
          <w:sz w:val="36"/>
          <w:szCs w:val="36"/>
          <w:lang w:val="es-ES" w:eastAsia="es-ES"/>
        </w:rPr>
      </w:pPr>
      <w:r w:rsidRPr="001F6EEE">
        <w:rPr>
          <w:rFonts w:ascii="inherit" w:eastAsia="Times New Roman" w:hAnsi="inherit" w:cs="Segoe UI"/>
          <w:color w:val="444444"/>
          <w:sz w:val="36"/>
          <w:szCs w:val="36"/>
          <w:lang w:val="es-ES" w:eastAsia="es-ES"/>
        </w:rPr>
        <w:t>2. Mayor protección al consumidor</w:t>
      </w:r>
    </w:p>
    <w:p w:rsidR="001F6EEE" w:rsidRPr="001F6EEE" w:rsidRDefault="001F6EEE" w:rsidP="001F6EEE">
      <w:pPr>
        <w:shd w:val="clear" w:color="auto" w:fill="FFFFFF"/>
        <w:spacing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 xml:space="preserve">La principal razón por la que se elaboró esta normativa fue la orden de la Unión Europea de aplicar una directiva que </w:t>
      </w:r>
      <w:r w:rsidRPr="001F6EEE">
        <w:rPr>
          <w:rFonts w:ascii="Segoe UI" w:eastAsia="Times New Roman" w:hAnsi="Segoe UI" w:cs="Segoe UI"/>
          <w:b/>
          <w:bCs/>
          <w:color w:val="555555"/>
          <w:sz w:val="24"/>
          <w:szCs w:val="24"/>
          <w:lang w:val="es-ES" w:eastAsia="es-ES"/>
        </w:rPr>
        <w:t>aumenta la protección a los consumidores</w:t>
      </w:r>
      <w:r w:rsidRPr="001F6EEE">
        <w:rPr>
          <w:rFonts w:ascii="Segoe UI" w:eastAsia="Times New Roman" w:hAnsi="Segoe UI" w:cs="Segoe UI"/>
          <w:color w:val="555555"/>
          <w:sz w:val="24"/>
          <w:szCs w:val="24"/>
          <w:lang w:val="es-ES" w:eastAsia="es-ES"/>
        </w:rPr>
        <w:t>. Pero además de las medidas que las Cortes españolas están obligadas a establecer, se añaden otras que son bastante interesantes:</w:t>
      </w:r>
    </w:p>
    <w:p w:rsidR="001F6EEE" w:rsidRPr="001F6EEE" w:rsidRDefault="001F6EEE" w:rsidP="001F6EEE">
      <w:pPr>
        <w:numPr>
          <w:ilvl w:val="0"/>
          <w:numId w:val="3"/>
        </w:numPr>
        <w:shd w:val="clear" w:color="auto" w:fill="FFFFFF"/>
        <w:spacing w:after="100" w:afterAutospacing="1" w:line="240" w:lineRule="auto"/>
        <w:ind w:left="495"/>
        <w:rPr>
          <w:rFonts w:ascii="Segoe UI" w:eastAsia="Times New Roman" w:hAnsi="Segoe UI" w:cs="Segoe UI"/>
          <w:color w:val="555555"/>
          <w:sz w:val="24"/>
          <w:szCs w:val="24"/>
          <w:lang w:val="es-ES" w:eastAsia="es-ES"/>
        </w:rPr>
      </w:pPr>
      <w:r w:rsidRPr="001F6EEE">
        <w:rPr>
          <w:rFonts w:ascii="Segoe UI" w:eastAsia="Times New Roman" w:hAnsi="Segoe UI" w:cs="Segoe UI"/>
          <w:b/>
          <w:bCs/>
          <w:color w:val="555555"/>
          <w:sz w:val="24"/>
          <w:szCs w:val="24"/>
          <w:lang w:val="es-ES" w:eastAsia="es-ES"/>
        </w:rPr>
        <w:t>Más información para el futuro hipotecado</w:t>
      </w:r>
      <w:r w:rsidRPr="001F6EEE">
        <w:rPr>
          <w:rFonts w:ascii="Segoe UI" w:eastAsia="Times New Roman" w:hAnsi="Segoe UI" w:cs="Segoe UI"/>
          <w:color w:val="555555"/>
          <w:sz w:val="24"/>
          <w:szCs w:val="24"/>
          <w:lang w:val="es-ES" w:eastAsia="es-ES"/>
        </w:rPr>
        <w:t>. El banco le tiene que entregar las condiciones personalizadas recogidas en la Ficha Europea de Información Normalizada (</w:t>
      </w:r>
      <w:r w:rsidRPr="001F6EEE">
        <w:rPr>
          <w:rFonts w:ascii="Segoe UI" w:eastAsia="Times New Roman" w:hAnsi="Segoe UI" w:cs="Segoe UI"/>
          <w:b/>
          <w:bCs/>
          <w:color w:val="555555"/>
          <w:sz w:val="24"/>
          <w:szCs w:val="24"/>
          <w:lang w:val="es-ES" w:eastAsia="es-ES"/>
        </w:rPr>
        <w:t>FEIN</w:t>
      </w:r>
      <w:r w:rsidRPr="001F6EEE">
        <w:rPr>
          <w:rFonts w:ascii="Segoe UI" w:eastAsia="Times New Roman" w:hAnsi="Segoe UI" w:cs="Segoe UI"/>
          <w:color w:val="555555"/>
          <w:sz w:val="24"/>
          <w:szCs w:val="24"/>
          <w:lang w:val="es-ES" w:eastAsia="es-ES"/>
        </w:rPr>
        <w:t>), un documento que tiene carácter de oferta vinculante durante un mínimo de 10 días. Paralelamente, debe facilitar la Ficha de Advertencias Estandarizadas (</w:t>
      </w:r>
      <w:proofErr w:type="spellStart"/>
      <w:r w:rsidRPr="001F6EEE">
        <w:rPr>
          <w:rFonts w:ascii="Segoe UI" w:eastAsia="Times New Roman" w:hAnsi="Segoe UI" w:cs="Segoe UI"/>
          <w:b/>
          <w:bCs/>
          <w:color w:val="555555"/>
          <w:sz w:val="24"/>
          <w:szCs w:val="24"/>
          <w:lang w:val="es-ES" w:eastAsia="es-ES"/>
        </w:rPr>
        <w:t>FiAE</w:t>
      </w:r>
      <w:proofErr w:type="spellEnd"/>
      <w:r w:rsidRPr="001F6EEE">
        <w:rPr>
          <w:rFonts w:ascii="Segoe UI" w:eastAsia="Times New Roman" w:hAnsi="Segoe UI" w:cs="Segoe UI"/>
          <w:color w:val="555555"/>
          <w:sz w:val="24"/>
          <w:szCs w:val="24"/>
          <w:lang w:val="es-ES" w:eastAsia="es-ES"/>
        </w:rPr>
        <w:t>), en la que se explican de manera genérica cuáles son las cláusulas o elementos más relevantes, una copia del contrato y, si la hipoteca es variable, un documento aparte con las cuotas que habría que pagar en varios escenarios.</w:t>
      </w:r>
    </w:p>
    <w:p w:rsidR="001F6EEE" w:rsidRPr="001F6EEE" w:rsidRDefault="001F6EEE" w:rsidP="001F6EEE">
      <w:pPr>
        <w:numPr>
          <w:ilvl w:val="0"/>
          <w:numId w:val="3"/>
        </w:numPr>
        <w:shd w:val="clear" w:color="auto" w:fill="FFFFFF"/>
        <w:spacing w:after="100" w:afterAutospacing="1" w:line="240" w:lineRule="auto"/>
        <w:ind w:left="495"/>
        <w:rPr>
          <w:rFonts w:ascii="Segoe UI" w:eastAsia="Times New Roman" w:hAnsi="Segoe UI" w:cs="Segoe UI"/>
          <w:color w:val="555555"/>
          <w:sz w:val="24"/>
          <w:szCs w:val="24"/>
          <w:lang w:val="es-ES" w:eastAsia="es-ES"/>
        </w:rPr>
      </w:pPr>
      <w:r w:rsidRPr="001F6EEE">
        <w:rPr>
          <w:rFonts w:ascii="Segoe UI" w:eastAsia="Times New Roman" w:hAnsi="Segoe UI" w:cs="Segoe UI"/>
          <w:b/>
          <w:bCs/>
          <w:color w:val="555555"/>
          <w:sz w:val="24"/>
          <w:szCs w:val="24"/>
          <w:lang w:val="es-ES" w:eastAsia="es-ES"/>
        </w:rPr>
        <w:t>Visita obligatoria al notario</w:t>
      </w:r>
      <w:r w:rsidRPr="001F6EEE">
        <w:rPr>
          <w:rFonts w:ascii="Segoe UI" w:eastAsia="Times New Roman" w:hAnsi="Segoe UI" w:cs="Segoe UI"/>
          <w:color w:val="555555"/>
          <w:sz w:val="24"/>
          <w:szCs w:val="24"/>
          <w:lang w:val="es-ES" w:eastAsia="es-ES"/>
        </w:rPr>
        <w:t xml:space="preserve">: tanto los titulares de la futura hipoteca como sus avalistas tienen que pasar por la notaría al menos un día antes de la firma para recibir asesoramiento gratuito y responder a un test. El notario </w:t>
      </w:r>
      <w:r w:rsidRPr="001F6EEE">
        <w:rPr>
          <w:rFonts w:ascii="Segoe UI" w:eastAsia="Times New Roman" w:hAnsi="Segoe UI" w:cs="Segoe UI"/>
          <w:color w:val="555555"/>
          <w:sz w:val="24"/>
          <w:szCs w:val="24"/>
          <w:lang w:val="es-ES" w:eastAsia="es-ES"/>
        </w:rPr>
        <w:lastRenderedPageBreak/>
        <w:t>no puede autorizar la escritura si no se pasa el examen y se certifica que el futuro prestatario ha recibido la documentación mencionada antes.</w:t>
      </w:r>
    </w:p>
    <w:p w:rsidR="001F6EEE" w:rsidRPr="001F6EEE" w:rsidRDefault="001F6EEE" w:rsidP="001F6EEE">
      <w:pPr>
        <w:numPr>
          <w:ilvl w:val="0"/>
          <w:numId w:val="3"/>
        </w:numPr>
        <w:shd w:val="clear" w:color="auto" w:fill="FFFFFF"/>
        <w:spacing w:after="100" w:afterAutospacing="1" w:line="240" w:lineRule="auto"/>
        <w:ind w:left="495"/>
        <w:rPr>
          <w:rFonts w:ascii="Segoe UI" w:eastAsia="Times New Roman" w:hAnsi="Segoe UI" w:cs="Segoe UI"/>
          <w:color w:val="555555"/>
          <w:sz w:val="24"/>
          <w:szCs w:val="24"/>
          <w:lang w:val="es-ES" w:eastAsia="es-ES"/>
        </w:rPr>
      </w:pPr>
      <w:r w:rsidRPr="001F6EEE">
        <w:rPr>
          <w:rFonts w:ascii="Segoe UI" w:eastAsia="Times New Roman" w:hAnsi="Segoe UI" w:cs="Segoe UI"/>
          <w:b/>
          <w:bCs/>
          <w:color w:val="555555"/>
          <w:sz w:val="24"/>
          <w:szCs w:val="24"/>
          <w:lang w:val="es-ES" w:eastAsia="es-ES"/>
        </w:rPr>
        <w:t>Los registradores no podrán inscribir cláusulas abusivas</w:t>
      </w:r>
      <w:r w:rsidRPr="001F6EEE">
        <w:rPr>
          <w:rFonts w:ascii="Segoe UI" w:eastAsia="Times New Roman" w:hAnsi="Segoe UI" w:cs="Segoe UI"/>
          <w:color w:val="555555"/>
          <w:sz w:val="24"/>
          <w:szCs w:val="24"/>
          <w:lang w:val="es-ES" w:eastAsia="es-ES"/>
        </w:rPr>
        <w:t>, es decir, contrarias a las normas imperativas o declaradas nulas por el Tribunal Supremo.</w:t>
      </w:r>
    </w:p>
    <w:p w:rsidR="001F6EEE" w:rsidRPr="001F6EEE" w:rsidRDefault="001F6EEE" w:rsidP="001F6EEE">
      <w:pPr>
        <w:numPr>
          <w:ilvl w:val="0"/>
          <w:numId w:val="3"/>
        </w:numPr>
        <w:shd w:val="clear" w:color="auto" w:fill="FFFFFF"/>
        <w:spacing w:after="100" w:afterAutospacing="1" w:line="240" w:lineRule="auto"/>
        <w:ind w:left="495"/>
        <w:rPr>
          <w:rFonts w:ascii="Segoe UI" w:eastAsia="Times New Roman" w:hAnsi="Segoe UI" w:cs="Segoe UI"/>
          <w:color w:val="555555"/>
          <w:sz w:val="24"/>
          <w:szCs w:val="24"/>
          <w:lang w:val="es-ES" w:eastAsia="es-ES"/>
        </w:rPr>
      </w:pPr>
      <w:r w:rsidRPr="001F6EEE">
        <w:rPr>
          <w:rFonts w:ascii="Segoe UI" w:eastAsia="Times New Roman" w:hAnsi="Segoe UI" w:cs="Segoe UI"/>
          <w:b/>
          <w:bCs/>
          <w:color w:val="555555"/>
          <w:sz w:val="24"/>
          <w:szCs w:val="24"/>
          <w:lang w:val="es-ES" w:eastAsia="es-ES"/>
        </w:rPr>
        <w:t>Las cláusulas que incumplan la normativa</w:t>
      </w:r>
      <w:r w:rsidRPr="001F6EEE">
        <w:rPr>
          <w:rFonts w:ascii="Segoe UI" w:eastAsia="Times New Roman" w:hAnsi="Segoe UI" w:cs="Segoe UI"/>
          <w:color w:val="555555"/>
          <w:sz w:val="24"/>
          <w:szCs w:val="24"/>
          <w:lang w:val="es-ES" w:eastAsia="es-ES"/>
        </w:rPr>
        <w:t xml:space="preserve"> establecida por la nueva ley hipotecaria se declararán </w:t>
      </w:r>
      <w:r w:rsidRPr="001F6EEE">
        <w:rPr>
          <w:rFonts w:ascii="Segoe UI" w:eastAsia="Times New Roman" w:hAnsi="Segoe UI" w:cs="Segoe UI"/>
          <w:b/>
          <w:bCs/>
          <w:color w:val="555555"/>
          <w:sz w:val="24"/>
          <w:szCs w:val="24"/>
          <w:lang w:val="es-ES" w:eastAsia="es-ES"/>
        </w:rPr>
        <w:t>nulas de pleno derecho</w:t>
      </w:r>
      <w:r w:rsidRPr="001F6EEE">
        <w:rPr>
          <w:rFonts w:ascii="Segoe UI" w:eastAsia="Times New Roman" w:hAnsi="Segoe UI" w:cs="Segoe UI"/>
          <w:color w:val="555555"/>
          <w:sz w:val="24"/>
          <w:szCs w:val="24"/>
          <w:lang w:val="es-ES" w:eastAsia="es-ES"/>
        </w:rPr>
        <w:t xml:space="preserve">. Esto significa que no existe ningún plazo de prescripción para poder denunciar su </w:t>
      </w:r>
      <w:proofErr w:type="spellStart"/>
      <w:r w:rsidRPr="001F6EEE">
        <w:rPr>
          <w:rFonts w:ascii="Segoe UI" w:eastAsia="Times New Roman" w:hAnsi="Segoe UI" w:cs="Segoe UI"/>
          <w:color w:val="555555"/>
          <w:sz w:val="24"/>
          <w:szCs w:val="24"/>
          <w:lang w:val="es-ES" w:eastAsia="es-ES"/>
        </w:rPr>
        <w:t>abusividad</w:t>
      </w:r>
      <w:proofErr w:type="spellEnd"/>
      <w:r w:rsidRPr="001F6EEE">
        <w:rPr>
          <w:rFonts w:ascii="Segoe UI" w:eastAsia="Times New Roman" w:hAnsi="Segoe UI" w:cs="Segoe UI"/>
          <w:color w:val="555555"/>
          <w:sz w:val="24"/>
          <w:szCs w:val="24"/>
          <w:lang w:val="es-ES" w:eastAsia="es-ES"/>
        </w:rPr>
        <w:t>.</w:t>
      </w:r>
    </w:p>
    <w:p w:rsidR="001F6EEE" w:rsidRPr="001F6EEE" w:rsidRDefault="001F6EEE" w:rsidP="001F6EEE">
      <w:pPr>
        <w:shd w:val="clear" w:color="auto" w:fill="FFFFFF"/>
        <w:spacing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También se especifica que la política de remuneraciones de los bancos a sus empleados no puede ligar el salario con el número de préstamos hipotecarios concedidos ni puede provocar que no se estudien las solicitudes adecuadamente.</w:t>
      </w:r>
    </w:p>
    <w:p w:rsidR="001F6EEE" w:rsidRPr="001F6EEE" w:rsidRDefault="001F6EEE" w:rsidP="001F6EEE">
      <w:pPr>
        <w:shd w:val="clear" w:color="auto" w:fill="FFFFFF"/>
        <w:spacing w:after="100" w:afterAutospacing="1" w:line="240" w:lineRule="auto"/>
        <w:outlineLvl w:val="1"/>
        <w:rPr>
          <w:rFonts w:ascii="inherit" w:eastAsia="Times New Roman" w:hAnsi="inherit" w:cs="Segoe UI"/>
          <w:color w:val="444444"/>
          <w:sz w:val="36"/>
          <w:szCs w:val="36"/>
          <w:lang w:val="es-ES" w:eastAsia="es-ES"/>
        </w:rPr>
      </w:pPr>
      <w:r w:rsidRPr="001F6EEE">
        <w:rPr>
          <w:rFonts w:ascii="inherit" w:eastAsia="Times New Roman" w:hAnsi="inherit" w:cs="Segoe UI"/>
          <w:color w:val="444444"/>
          <w:sz w:val="36"/>
          <w:szCs w:val="36"/>
          <w:lang w:val="es-ES" w:eastAsia="es-ES"/>
        </w:rPr>
        <w:t>3. La amortización anticipada, más barata</w:t>
      </w:r>
    </w:p>
    <w:p w:rsidR="001F6EEE" w:rsidRPr="001F6EEE" w:rsidRDefault="001F6EEE" w:rsidP="001F6EEE">
      <w:pPr>
        <w:shd w:val="clear" w:color="auto" w:fill="FFFFFF"/>
        <w:spacing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 xml:space="preserve">La llamada comisión o compensación por amortización anticipada, ya sea parcial o total, se abarata. Además, </w:t>
      </w:r>
      <w:r w:rsidRPr="001F6EEE">
        <w:rPr>
          <w:rFonts w:ascii="Segoe UI" w:eastAsia="Times New Roman" w:hAnsi="Segoe UI" w:cs="Segoe UI"/>
          <w:b/>
          <w:bCs/>
          <w:color w:val="555555"/>
          <w:sz w:val="24"/>
          <w:szCs w:val="24"/>
          <w:lang w:val="es-ES" w:eastAsia="es-ES"/>
        </w:rPr>
        <w:t>solo se puede cobrar si al banco se le genera una pérdida financiera</w:t>
      </w:r>
      <w:r w:rsidRPr="001F6EEE">
        <w:rPr>
          <w:rFonts w:ascii="Segoe UI" w:eastAsia="Times New Roman" w:hAnsi="Segoe UI" w:cs="Segoe UI"/>
          <w:color w:val="555555"/>
          <w:sz w:val="24"/>
          <w:szCs w:val="24"/>
          <w:lang w:val="es-ES" w:eastAsia="es-ES"/>
        </w:rPr>
        <w:t>. Los límites son distintos dependiendo de si la hipoteca es variable o fija:</w:t>
      </w:r>
    </w:p>
    <w:p w:rsidR="001F6EEE" w:rsidRPr="001F6EEE" w:rsidRDefault="001F6EEE" w:rsidP="001F6EEE">
      <w:pPr>
        <w:numPr>
          <w:ilvl w:val="0"/>
          <w:numId w:val="4"/>
        </w:numPr>
        <w:shd w:val="clear" w:color="auto" w:fill="FFFFFF"/>
        <w:spacing w:after="100" w:afterAutospacing="1" w:line="240" w:lineRule="auto"/>
        <w:ind w:left="495"/>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 xml:space="preserve">En una </w:t>
      </w:r>
      <w:r w:rsidRPr="001F6EEE">
        <w:rPr>
          <w:rFonts w:ascii="Segoe UI" w:eastAsia="Times New Roman" w:hAnsi="Segoe UI" w:cs="Segoe UI"/>
          <w:b/>
          <w:bCs/>
          <w:color w:val="555555"/>
          <w:sz w:val="24"/>
          <w:szCs w:val="24"/>
          <w:lang w:val="es-ES" w:eastAsia="es-ES"/>
        </w:rPr>
        <w:t>hipoteca variable</w:t>
      </w:r>
      <w:r w:rsidRPr="001F6EEE">
        <w:rPr>
          <w:rFonts w:ascii="Segoe UI" w:eastAsia="Times New Roman" w:hAnsi="Segoe UI" w:cs="Segoe UI"/>
          <w:color w:val="555555"/>
          <w:sz w:val="24"/>
          <w:szCs w:val="24"/>
          <w:lang w:val="es-ES" w:eastAsia="es-ES"/>
        </w:rPr>
        <w:t xml:space="preserve">, la comisión máxima puede ser </w:t>
      </w:r>
      <w:r w:rsidRPr="001F6EEE">
        <w:rPr>
          <w:rFonts w:ascii="Segoe UI" w:eastAsia="Times New Roman" w:hAnsi="Segoe UI" w:cs="Segoe UI"/>
          <w:b/>
          <w:bCs/>
          <w:color w:val="555555"/>
          <w:sz w:val="24"/>
          <w:szCs w:val="24"/>
          <w:lang w:val="es-ES" w:eastAsia="es-ES"/>
        </w:rPr>
        <w:t>una de estas dos opciones</w:t>
      </w:r>
      <w:r w:rsidRPr="001F6EEE">
        <w:rPr>
          <w:rFonts w:ascii="Segoe UI" w:eastAsia="Times New Roman" w:hAnsi="Segoe UI" w:cs="Segoe UI"/>
          <w:color w:val="555555"/>
          <w:sz w:val="24"/>
          <w:szCs w:val="24"/>
          <w:lang w:val="es-ES" w:eastAsia="es-ES"/>
        </w:rPr>
        <w:t>:</w:t>
      </w:r>
    </w:p>
    <w:p w:rsidR="001F6EEE" w:rsidRPr="001F6EEE" w:rsidRDefault="001F6EEE" w:rsidP="001F6EEE">
      <w:pPr>
        <w:numPr>
          <w:ilvl w:val="1"/>
          <w:numId w:val="4"/>
        </w:numPr>
        <w:shd w:val="clear" w:color="auto" w:fill="FFFFFF"/>
        <w:spacing w:after="100" w:afterAutospacing="1" w:line="240" w:lineRule="auto"/>
        <w:ind w:left="1215"/>
        <w:rPr>
          <w:rFonts w:ascii="Segoe UI" w:eastAsia="Times New Roman" w:hAnsi="Segoe UI" w:cs="Segoe UI"/>
          <w:color w:val="555555"/>
          <w:sz w:val="24"/>
          <w:szCs w:val="24"/>
          <w:lang w:val="es-ES" w:eastAsia="es-ES"/>
        </w:rPr>
      </w:pPr>
      <w:r w:rsidRPr="001F6EEE">
        <w:rPr>
          <w:rFonts w:ascii="Segoe UI" w:eastAsia="Times New Roman" w:hAnsi="Segoe UI" w:cs="Segoe UI"/>
          <w:b/>
          <w:bCs/>
          <w:color w:val="555555"/>
          <w:sz w:val="24"/>
          <w:szCs w:val="24"/>
          <w:lang w:val="es-ES" w:eastAsia="es-ES"/>
        </w:rPr>
        <w:t>0,25%</w:t>
      </w:r>
      <w:r w:rsidRPr="001F6EEE">
        <w:rPr>
          <w:rFonts w:ascii="Segoe UI" w:eastAsia="Times New Roman" w:hAnsi="Segoe UI" w:cs="Segoe UI"/>
          <w:color w:val="555555"/>
          <w:sz w:val="24"/>
          <w:szCs w:val="24"/>
          <w:lang w:val="es-ES" w:eastAsia="es-ES"/>
        </w:rPr>
        <w:t xml:space="preserve"> solo durante los </w:t>
      </w:r>
      <w:r w:rsidRPr="001F6EEE">
        <w:rPr>
          <w:rFonts w:ascii="Segoe UI" w:eastAsia="Times New Roman" w:hAnsi="Segoe UI" w:cs="Segoe UI"/>
          <w:b/>
          <w:bCs/>
          <w:color w:val="555555"/>
          <w:sz w:val="24"/>
          <w:szCs w:val="24"/>
          <w:lang w:val="es-ES" w:eastAsia="es-ES"/>
        </w:rPr>
        <w:t>primeros tres años</w:t>
      </w:r>
      <w:r w:rsidRPr="001F6EEE">
        <w:rPr>
          <w:rFonts w:ascii="Segoe UI" w:eastAsia="Times New Roman" w:hAnsi="Segoe UI" w:cs="Segoe UI"/>
          <w:color w:val="555555"/>
          <w:sz w:val="24"/>
          <w:szCs w:val="24"/>
          <w:lang w:val="es-ES" w:eastAsia="es-ES"/>
        </w:rPr>
        <w:t xml:space="preserve"> de vida del contrato</w:t>
      </w:r>
    </w:p>
    <w:p w:rsidR="001F6EEE" w:rsidRPr="001F6EEE" w:rsidRDefault="001F6EEE" w:rsidP="001F6EEE">
      <w:pPr>
        <w:numPr>
          <w:ilvl w:val="1"/>
          <w:numId w:val="4"/>
        </w:numPr>
        <w:shd w:val="clear" w:color="auto" w:fill="FFFFFF"/>
        <w:spacing w:after="100" w:afterAutospacing="1" w:line="240" w:lineRule="auto"/>
        <w:ind w:left="1215"/>
        <w:rPr>
          <w:rFonts w:ascii="Segoe UI" w:eastAsia="Times New Roman" w:hAnsi="Segoe UI" w:cs="Segoe UI"/>
          <w:color w:val="555555"/>
          <w:sz w:val="24"/>
          <w:szCs w:val="24"/>
          <w:lang w:val="es-ES" w:eastAsia="es-ES"/>
        </w:rPr>
      </w:pPr>
      <w:r w:rsidRPr="001F6EEE">
        <w:rPr>
          <w:rFonts w:ascii="Segoe UI" w:eastAsia="Times New Roman" w:hAnsi="Segoe UI" w:cs="Segoe UI"/>
          <w:b/>
          <w:bCs/>
          <w:color w:val="555555"/>
          <w:sz w:val="24"/>
          <w:szCs w:val="24"/>
          <w:lang w:val="es-ES" w:eastAsia="es-ES"/>
        </w:rPr>
        <w:t>0,15%</w:t>
      </w:r>
      <w:r w:rsidRPr="001F6EEE">
        <w:rPr>
          <w:rFonts w:ascii="Segoe UI" w:eastAsia="Times New Roman" w:hAnsi="Segoe UI" w:cs="Segoe UI"/>
          <w:color w:val="555555"/>
          <w:sz w:val="24"/>
          <w:szCs w:val="24"/>
          <w:lang w:val="es-ES" w:eastAsia="es-ES"/>
        </w:rPr>
        <w:t xml:space="preserve"> solo durante los </w:t>
      </w:r>
      <w:r w:rsidRPr="001F6EEE">
        <w:rPr>
          <w:rFonts w:ascii="Segoe UI" w:eastAsia="Times New Roman" w:hAnsi="Segoe UI" w:cs="Segoe UI"/>
          <w:b/>
          <w:bCs/>
          <w:color w:val="555555"/>
          <w:sz w:val="24"/>
          <w:szCs w:val="24"/>
          <w:lang w:val="es-ES" w:eastAsia="es-ES"/>
        </w:rPr>
        <w:t>primeros cinco años</w:t>
      </w:r>
      <w:r w:rsidRPr="001F6EEE">
        <w:rPr>
          <w:rFonts w:ascii="Segoe UI" w:eastAsia="Times New Roman" w:hAnsi="Segoe UI" w:cs="Segoe UI"/>
          <w:color w:val="555555"/>
          <w:sz w:val="24"/>
          <w:szCs w:val="24"/>
          <w:lang w:val="es-ES" w:eastAsia="es-ES"/>
        </w:rPr>
        <w:t xml:space="preserve"> del plazo del préstamo</w:t>
      </w:r>
    </w:p>
    <w:p w:rsidR="001F6EEE" w:rsidRPr="001F6EEE" w:rsidRDefault="001F6EEE" w:rsidP="001F6EEE">
      <w:pPr>
        <w:numPr>
          <w:ilvl w:val="0"/>
          <w:numId w:val="4"/>
        </w:numPr>
        <w:shd w:val="clear" w:color="auto" w:fill="FFFFFF"/>
        <w:spacing w:after="100" w:afterAutospacing="1" w:line="240" w:lineRule="auto"/>
        <w:ind w:left="495"/>
        <w:rPr>
          <w:rFonts w:ascii="Segoe UI" w:eastAsia="Times New Roman" w:hAnsi="Segoe UI" w:cs="Segoe UI"/>
          <w:color w:val="555555"/>
          <w:sz w:val="24"/>
          <w:szCs w:val="24"/>
          <w:lang w:val="es-ES" w:eastAsia="es-ES"/>
        </w:rPr>
      </w:pPr>
      <w:hyperlink r:id="rId7" w:history="1">
        <w:r w:rsidRPr="001F6EEE">
          <w:rPr>
            <w:rFonts w:ascii="Segoe UI" w:eastAsia="Times New Roman" w:hAnsi="Segoe UI" w:cs="Segoe UI"/>
            <w:b/>
            <w:bCs/>
            <w:color w:val="016799"/>
            <w:sz w:val="24"/>
            <w:szCs w:val="24"/>
            <w:lang w:val="es-ES" w:eastAsia="es-ES"/>
          </w:rPr>
          <w:t>En una hipoteca fija</w:t>
        </w:r>
      </w:hyperlink>
      <w:r w:rsidRPr="001F6EEE">
        <w:rPr>
          <w:rFonts w:ascii="Segoe UI" w:eastAsia="Times New Roman" w:hAnsi="Segoe UI" w:cs="Segoe UI"/>
          <w:color w:val="555555"/>
          <w:sz w:val="24"/>
          <w:szCs w:val="24"/>
          <w:lang w:val="es-ES" w:eastAsia="es-ES"/>
        </w:rPr>
        <w:t>, la compensación puede alcanzar los siguientes límites:</w:t>
      </w:r>
    </w:p>
    <w:p w:rsidR="001F6EEE" w:rsidRPr="001F6EEE" w:rsidRDefault="001F6EEE" w:rsidP="001F6EEE">
      <w:pPr>
        <w:numPr>
          <w:ilvl w:val="1"/>
          <w:numId w:val="4"/>
        </w:numPr>
        <w:shd w:val="clear" w:color="auto" w:fill="FFFFFF"/>
        <w:spacing w:after="100" w:afterAutospacing="1" w:line="240" w:lineRule="auto"/>
        <w:ind w:left="1215"/>
        <w:rPr>
          <w:rFonts w:ascii="Segoe UI" w:eastAsia="Times New Roman" w:hAnsi="Segoe UI" w:cs="Segoe UI"/>
          <w:color w:val="555555"/>
          <w:sz w:val="24"/>
          <w:szCs w:val="24"/>
          <w:lang w:val="es-ES" w:eastAsia="es-ES"/>
        </w:rPr>
      </w:pPr>
      <w:r w:rsidRPr="001F6EEE">
        <w:rPr>
          <w:rFonts w:ascii="Segoe UI" w:eastAsia="Times New Roman" w:hAnsi="Segoe UI" w:cs="Segoe UI"/>
          <w:b/>
          <w:bCs/>
          <w:color w:val="555555"/>
          <w:sz w:val="24"/>
          <w:szCs w:val="24"/>
          <w:lang w:val="es-ES" w:eastAsia="es-ES"/>
        </w:rPr>
        <w:t>2%</w:t>
      </w:r>
      <w:r w:rsidRPr="001F6EEE">
        <w:rPr>
          <w:rFonts w:ascii="Segoe UI" w:eastAsia="Times New Roman" w:hAnsi="Segoe UI" w:cs="Segoe UI"/>
          <w:color w:val="555555"/>
          <w:sz w:val="24"/>
          <w:szCs w:val="24"/>
          <w:lang w:val="es-ES" w:eastAsia="es-ES"/>
        </w:rPr>
        <w:t xml:space="preserve"> durante los primeros 10 años </w:t>
      </w:r>
    </w:p>
    <w:p w:rsidR="001F6EEE" w:rsidRPr="001F6EEE" w:rsidRDefault="001F6EEE" w:rsidP="001F6EEE">
      <w:pPr>
        <w:numPr>
          <w:ilvl w:val="1"/>
          <w:numId w:val="4"/>
        </w:numPr>
        <w:shd w:val="clear" w:color="auto" w:fill="FFFFFF"/>
        <w:spacing w:after="100" w:afterAutospacing="1" w:line="240" w:lineRule="auto"/>
        <w:ind w:left="1215"/>
        <w:rPr>
          <w:rFonts w:ascii="Segoe UI" w:eastAsia="Times New Roman" w:hAnsi="Segoe UI" w:cs="Segoe UI"/>
          <w:color w:val="555555"/>
          <w:sz w:val="24"/>
          <w:szCs w:val="24"/>
          <w:lang w:val="es-ES" w:eastAsia="es-ES"/>
        </w:rPr>
      </w:pPr>
      <w:r w:rsidRPr="001F6EEE">
        <w:rPr>
          <w:rFonts w:ascii="Segoe UI" w:eastAsia="Times New Roman" w:hAnsi="Segoe UI" w:cs="Segoe UI"/>
          <w:b/>
          <w:bCs/>
          <w:color w:val="555555"/>
          <w:sz w:val="24"/>
          <w:szCs w:val="24"/>
          <w:lang w:val="es-ES" w:eastAsia="es-ES"/>
        </w:rPr>
        <w:t>1,5%</w:t>
      </w:r>
      <w:r w:rsidRPr="001F6EEE">
        <w:rPr>
          <w:rFonts w:ascii="Segoe UI" w:eastAsia="Times New Roman" w:hAnsi="Segoe UI" w:cs="Segoe UI"/>
          <w:color w:val="555555"/>
          <w:sz w:val="24"/>
          <w:szCs w:val="24"/>
          <w:lang w:val="es-ES" w:eastAsia="es-ES"/>
        </w:rPr>
        <w:t xml:space="preserve"> durante el resto del plazo </w:t>
      </w:r>
    </w:p>
    <w:p w:rsidR="001F6EEE" w:rsidRPr="001F6EEE" w:rsidRDefault="001F6EEE" w:rsidP="001F6EEE">
      <w:pPr>
        <w:shd w:val="clear" w:color="auto" w:fill="FFFFFF"/>
        <w:spacing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 xml:space="preserve">Entre el banco y el cliente se puede pactar un plazo máximo de un mes para comunicar la </w:t>
      </w:r>
      <w:hyperlink r:id="rId8" w:history="1">
        <w:r w:rsidRPr="001F6EEE">
          <w:rPr>
            <w:rFonts w:ascii="Segoe UI" w:eastAsia="Times New Roman" w:hAnsi="Segoe UI" w:cs="Segoe UI"/>
            <w:b/>
            <w:bCs/>
            <w:color w:val="016799"/>
            <w:sz w:val="24"/>
            <w:szCs w:val="24"/>
            <w:lang w:val="es-ES" w:eastAsia="es-ES"/>
          </w:rPr>
          <w:t>intención de amortizar la hipoteca antes de tiempo</w:t>
        </w:r>
      </w:hyperlink>
      <w:r w:rsidRPr="001F6EEE">
        <w:rPr>
          <w:rFonts w:ascii="Segoe UI" w:eastAsia="Times New Roman" w:hAnsi="Segoe UI" w:cs="Segoe UI"/>
          <w:color w:val="555555"/>
          <w:sz w:val="24"/>
          <w:szCs w:val="24"/>
          <w:lang w:val="es-ES" w:eastAsia="es-ES"/>
        </w:rPr>
        <w:t>. A partir de entonces, la entidad tiene un máximo de tres días hábiles para facilitar toda la información necesaria para evaluar esta opción.</w:t>
      </w:r>
    </w:p>
    <w:p w:rsidR="001F6EEE" w:rsidRPr="001F6EEE" w:rsidRDefault="001F6EEE" w:rsidP="001F6EEE">
      <w:pPr>
        <w:shd w:val="clear" w:color="auto" w:fill="FFFFFF"/>
        <w:spacing w:after="100" w:afterAutospacing="1" w:line="240" w:lineRule="auto"/>
        <w:outlineLvl w:val="1"/>
        <w:rPr>
          <w:rFonts w:ascii="inherit" w:eastAsia="Times New Roman" w:hAnsi="inherit" w:cs="Segoe UI"/>
          <w:color w:val="444444"/>
          <w:sz w:val="36"/>
          <w:szCs w:val="36"/>
          <w:lang w:val="es-ES" w:eastAsia="es-ES"/>
        </w:rPr>
      </w:pPr>
      <w:r w:rsidRPr="001F6EEE">
        <w:rPr>
          <w:rFonts w:ascii="inherit" w:eastAsia="Times New Roman" w:hAnsi="inherit" w:cs="Segoe UI"/>
          <w:color w:val="444444"/>
          <w:sz w:val="36"/>
          <w:szCs w:val="36"/>
          <w:lang w:val="es-ES" w:eastAsia="es-ES"/>
        </w:rPr>
        <w:t>4. Incentivos para pasarse al tipo fijo</w:t>
      </w:r>
    </w:p>
    <w:p w:rsidR="001F6EEE" w:rsidRPr="001F6EEE" w:rsidRDefault="001F6EEE" w:rsidP="001F6EEE">
      <w:pPr>
        <w:shd w:val="clear" w:color="auto" w:fill="FFFFFF"/>
        <w:spacing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 xml:space="preserve">Ya lo dijo el </w:t>
      </w:r>
      <w:proofErr w:type="spellStart"/>
      <w:r w:rsidRPr="001F6EEE">
        <w:rPr>
          <w:rFonts w:ascii="Segoe UI" w:eastAsia="Times New Roman" w:hAnsi="Segoe UI" w:cs="Segoe UI"/>
          <w:color w:val="555555"/>
          <w:sz w:val="24"/>
          <w:szCs w:val="24"/>
          <w:lang w:val="es-ES" w:eastAsia="es-ES"/>
        </w:rPr>
        <w:t>exministro</w:t>
      </w:r>
      <w:proofErr w:type="spellEnd"/>
      <w:r w:rsidRPr="001F6EEE">
        <w:rPr>
          <w:rFonts w:ascii="Segoe UI" w:eastAsia="Times New Roman" w:hAnsi="Segoe UI" w:cs="Segoe UI"/>
          <w:color w:val="555555"/>
          <w:sz w:val="24"/>
          <w:szCs w:val="24"/>
          <w:lang w:val="es-ES" w:eastAsia="es-ES"/>
        </w:rPr>
        <w:t xml:space="preserve"> Luis de Guindos hace casi dos años: que haya tantas hipotecas ligadas al </w:t>
      </w:r>
      <w:proofErr w:type="spellStart"/>
      <w:r w:rsidRPr="001F6EEE">
        <w:rPr>
          <w:rFonts w:ascii="Segoe UI" w:eastAsia="Times New Roman" w:hAnsi="Segoe UI" w:cs="Segoe UI"/>
          <w:color w:val="555555"/>
          <w:sz w:val="24"/>
          <w:szCs w:val="24"/>
          <w:lang w:val="es-ES" w:eastAsia="es-ES"/>
        </w:rPr>
        <w:t>euríbor</w:t>
      </w:r>
      <w:proofErr w:type="spellEnd"/>
      <w:r w:rsidRPr="001F6EEE">
        <w:rPr>
          <w:rFonts w:ascii="Segoe UI" w:eastAsia="Times New Roman" w:hAnsi="Segoe UI" w:cs="Segoe UI"/>
          <w:color w:val="555555"/>
          <w:sz w:val="24"/>
          <w:szCs w:val="24"/>
          <w:lang w:val="es-ES" w:eastAsia="es-ES"/>
        </w:rPr>
        <w:t xml:space="preserve"> puede ser contraproducente. Por ello, en la ley nueva se abarata el paso del tipo variable al fijo, ya se realice mediante una novación (un pacto con la propia entidad) o una subrogación de acreedor para irse a otro banco. Así, </w:t>
      </w:r>
      <w:r w:rsidRPr="001F6EEE">
        <w:rPr>
          <w:rFonts w:ascii="Segoe UI" w:eastAsia="Times New Roman" w:hAnsi="Segoe UI" w:cs="Segoe UI"/>
          <w:b/>
          <w:bCs/>
          <w:color w:val="555555"/>
          <w:sz w:val="24"/>
          <w:szCs w:val="24"/>
          <w:lang w:val="es-ES" w:eastAsia="es-ES"/>
        </w:rPr>
        <w:t>la comisión máxima que se puede cobrar en este caso es del 0,15%, aplicable únicamente si el cambio se produce durante los primeros tres años del plazo</w:t>
      </w:r>
      <w:r w:rsidRPr="001F6EEE">
        <w:rPr>
          <w:rFonts w:ascii="Segoe UI" w:eastAsia="Times New Roman" w:hAnsi="Segoe UI" w:cs="Segoe UI"/>
          <w:color w:val="555555"/>
          <w:sz w:val="24"/>
          <w:szCs w:val="24"/>
          <w:lang w:val="es-ES" w:eastAsia="es-ES"/>
        </w:rPr>
        <w:t xml:space="preserve"> del préstamo. En su momento se dijo que esta medida iría acompañada de una reducción de los aranceles notariales y registrales, pero finalmente no es así.</w:t>
      </w:r>
    </w:p>
    <w:p w:rsidR="001F6EEE" w:rsidRPr="001F6EEE" w:rsidRDefault="001F6EEE" w:rsidP="001F6EEE">
      <w:pPr>
        <w:shd w:val="clear" w:color="auto" w:fill="FFFFFF"/>
        <w:spacing w:after="100" w:afterAutospacing="1" w:line="240" w:lineRule="auto"/>
        <w:outlineLvl w:val="1"/>
        <w:rPr>
          <w:rFonts w:ascii="inherit" w:eastAsia="Times New Roman" w:hAnsi="inherit" w:cs="Segoe UI"/>
          <w:color w:val="444444"/>
          <w:sz w:val="36"/>
          <w:szCs w:val="36"/>
          <w:lang w:val="es-ES" w:eastAsia="es-ES"/>
        </w:rPr>
      </w:pPr>
      <w:r w:rsidRPr="001F6EEE">
        <w:rPr>
          <w:rFonts w:ascii="inherit" w:eastAsia="Times New Roman" w:hAnsi="inherit" w:cs="Segoe UI"/>
          <w:color w:val="444444"/>
          <w:sz w:val="36"/>
          <w:szCs w:val="36"/>
          <w:lang w:val="es-ES" w:eastAsia="es-ES"/>
        </w:rPr>
        <w:t>5. Mínimo de 12 impagos para que se embargue la casa</w:t>
      </w:r>
    </w:p>
    <w:p w:rsidR="001F6EEE" w:rsidRPr="001F6EEE" w:rsidRDefault="001F6EEE" w:rsidP="001F6EEE">
      <w:pPr>
        <w:shd w:val="clear" w:color="auto" w:fill="FFFFFF"/>
        <w:spacing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 xml:space="preserve">Esta es una de las medidas estrella de la Ley reguladora de Contratos de Crédito Inmobiliario. </w:t>
      </w:r>
      <w:r w:rsidRPr="001F6EEE">
        <w:rPr>
          <w:rFonts w:ascii="Segoe UI" w:eastAsia="Times New Roman" w:hAnsi="Segoe UI" w:cs="Segoe UI"/>
          <w:b/>
          <w:bCs/>
          <w:color w:val="555555"/>
          <w:sz w:val="24"/>
          <w:szCs w:val="24"/>
          <w:lang w:val="es-ES" w:eastAsia="es-ES"/>
        </w:rPr>
        <w:t xml:space="preserve">El artículo que </w:t>
      </w:r>
      <w:hyperlink r:id="rId9" w:history="1">
        <w:r w:rsidRPr="001F6EEE">
          <w:rPr>
            <w:rFonts w:ascii="Segoe UI" w:eastAsia="Times New Roman" w:hAnsi="Segoe UI" w:cs="Segoe UI"/>
            <w:b/>
            <w:bCs/>
            <w:color w:val="016799"/>
            <w:sz w:val="24"/>
            <w:szCs w:val="24"/>
            <w:lang w:val="es-ES" w:eastAsia="es-ES"/>
          </w:rPr>
          <w:t>regula la cláusula de vencimiento anticipado</w:t>
        </w:r>
      </w:hyperlink>
      <w:r w:rsidRPr="001F6EEE">
        <w:rPr>
          <w:rFonts w:ascii="Segoe UI" w:eastAsia="Times New Roman" w:hAnsi="Segoe UI" w:cs="Segoe UI"/>
          <w:color w:val="555555"/>
          <w:sz w:val="24"/>
          <w:szCs w:val="24"/>
          <w:lang w:val="es-ES" w:eastAsia="es-ES"/>
        </w:rPr>
        <w:t xml:space="preserve">, que es la que los bancos aplican tras un impago reiterado para poder pedir el embargo de la vivienda al juzgado, establece unos </w:t>
      </w:r>
      <w:r w:rsidRPr="001F6EEE">
        <w:rPr>
          <w:rFonts w:ascii="Segoe UI" w:eastAsia="Times New Roman" w:hAnsi="Segoe UI" w:cs="Segoe UI"/>
          <w:b/>
          <w:bCs/>
          <w:color w:val="555555"/>
          <w:sz w:val="24"/>
          <w:szCs w:val="24"/>
          <w:lang w:val="es-ES" w:eastAsia="es-ES"/>
        </w:rPr>
        <w:t>requisitos más estrictos para poder activarla</w:t>
      </w:r>
      <w:r w:rsidRPr="001F6EEE">
        <w:rPr>
          <w:rFonts w:ascii="Segoe UI" w:eastAsia="Times New Roman" w:hAnsi="Segoe UI" w:cs="Segoe UI"/>
          <w:color w:val="555555"/>
          <w:sz w:val="24"/>
          <w:szCs w:val="24"/>
          <w:lang w:val="es-ES" w:eastAsia="es-ES"/>
        </w:rPr>
        <w:t>.</w:t>
      </w:r>
    </w:p>
    <w:p w:rsidR="001F6EEE" w:rsidRPr="001F6EEE" w:rsidRDefault="001F6EEE" w:rsidP="001F6EEE">
      <w:pPr>
        <w:shd w:val="clear" w:color="auto" w:fill="FFFFFF"/>
        <w:spacing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 xml:space="preserve">En concreto, </w:t>
      </w:r>
      <w:r w:rsidRPr="001F6EEE">
        <w:rPr>
          <w:rFonts w:ascii="Segoe UI" w:eastAsia="Times New Roman" w:hAnsi="Segoe UI" w:cs="Segoe UI"/>
          <w:b/>
          <w:bCs/>
          <w:color w:val="555555"/>
          <w:sz w:val="24"/>
          <w:szCs w:val="24"/>
          <w:lang w:val="es-ES" w:eastAsia="es-ES"/>
        </w:rPr>
        <w:t>el banco no puede iniciar el proceso de ejecución hipotecaria</w:t>
      </w:r>
      <w:r w:rsidRPr="001F6EEE">
        <w:rPr>
          <w:rFonts w:ascii="Segoe UI" w:eastAsia="Times New Roman" w:hAnsi="Segoe UI" w:cs="Segoe UI"/>
          <w:color w:val="555555"/>
          <w:sz w:val="24"/>
          <w:szCs w:val="24"/>
          <w:lang w:val="es-ES" w:eastAsia="es-ES"/>
        </w:rPr>
        <w:t xml:space="preserve"> hasta que no se alcancen los siguientes límites:</w:t>
      </w:r>
    </w:p>
    <w:p w:rsidR="001F6EEE" w:rsidRPr="001F6EEE" w:rsidRDefault="001F6EEE" w:rsidP="001F6EEE">
      <w:pPr>
        <w:numPr>
          <w:ilvl w:val="0"/>
          <w:numId w:val="5"/>
        </w:numPr>
        <w:shd w:val="clear" w:color="auto" w:fill="FFFFFF"/>
        <w:spacing w:after="100" w:afterAutospacing="1" w:line="240" w:lineRule="auto"/>
        <w:ind w:left="495"/>
        <w:rPr>
          <w:rFonts w:ascii="Segoe UI" w:eastAsia="Times New Roman" w:hAnsi="Segoe UI" w:cs="Segoe UI"/>
          <w:color w:val="555555"/>
          <w:sz w:val="24"/>
          <w:szCs w:val="24"/>
          <w:lang w:val="es-ES" w:eastAsia="es-ES"/>
        </w:rPr>
      </w:pPr>
      <w:r w:rsidRPr="001F6EEE">
        <w:rPr>
          <w:rFonts w:ascii="Segoe UI" w:eastAsia="Times New Roman" w:hAnsi="Segoe UI" w:cs="Segoe UI"/>
          <w:b/>
          <w:bCs/>
          <w:color w:val="555555"/>
          <w:sz w:val="24"/>
          <w:szCs w:val="24"/>
          <w:lang w:val="es-ES" w:eastAsia="es-ES"/>
        </w:rPr>
        <w:t>Durante la primera mitad del plazo</w:t>
      </w:r>
      <w:r w:rsidRPr="001F6EEE">
        <w:rPr>
          <w:rFonts w:ascii="Segoe UI" w:eastAsia="Times New Roman" w:hAnsi="Segoe UI" w:cs="Segoe UI"/>
          <w:color w:val="555555"/>
          <w:sz w:val="24"/>
          <w:szCs w:val="24"/>
          <w:lang w:val="es-ES" w:eastAsia="es-ES"/>
        </w:rPr>
        <w:t xml:space="preserve">: hasta que la demora no exceda un 3% del capital concedido o se alcance un equivalente a </w:t>
      </w:r>
      <w:r w:rsidRPr="001F6EEE">
        <w:rPr>
          <w:rFonts w:ascii="Segoe UI" w:eastAsia="Times New Roman" w:hAnsi="Segoe UI" w:cs="Segoe UI"/>
          <w:b/>
          <w:bCs/>
          <w:color w:val="555555"/>
          <w:sz w:val="24"/>
          <w:szCs w:val="24"/>
          <w:lang w:val="es-ES" w:eastAsia="es-ES"/>
        </w:rPr>
        <w:t>12 cuotas impagadas</w:t>
      </w:r>
      <w:r w:rsidRPr="001F6EEE">
        <w:rPr>
          <w:rFonts w:ascii="Segoe UI" w:eastAsia="Times New Roman" w:hAnsi="Segoe UI" w:cs="Segoe UI"/>
          <w:color w:val="555555"/>
          <w:sz w:val="24"/>
          <w:szCs w:val="24"/>
          <w:lang w:val="es-ES" w:eastAsia="es-ES"/>
        </w:rPr>
        <w:t>.</w:t>
      </w:r>
    </w:p>
    <w:p w:rsidR="001F6EEE" w:rsidRPr="001F6EEE" w:rsidRDefault="001F6EEE" w:rsidP="001F6EEE">
      <w:pPr>
        <w:numPr>
          <w:ilvl w:val="0"/>
          <w:numId w:val="5"/>
        </w:numPr>
        <w:shd w:val="clear" w:color="auto" w:fill="FFFFFF"/>
        <w:spacing w:after="100" w:afterAutospacing="1" w:line="240" w:lineRule="auto"/>
        <w:ind w:left="495"/>
        <w:rPr>
          <w:rFonts w:ascii="Segoe UI" w:eastAsia="Times New Roman" w:hAnsi="Segoe UI" w:cs="Segoe UI"/>
          <w:color w:val="555555"/>
          <w:sz w:val="24"/>
          <w:szCs w:val="24"/>
          <w:lang w:val="es-ES" w:eastAsia="es-ES"/>
        </w:rPr>
      </w:pPr>
      <w:r w:rsidRPr="001F6EEE">
        <w:rPr>
          <w:rFonts w:ascii="Segoe UI" w:eastAsia="Times New Roman" w:hAnsi="Segoe UI" w:cs="Segoe UI"/>
          <w:b/>
          <w:bCs/>
          <w:color w:val="555555"/>
          <w:sz w:val="24"/>
          <w:szCs w:val="24"/>
          <w:lang w:val="es-ES" w:eastAsia="es-ES"/>
        </w:rPr>
        <w:t>Durante la segunda mitad del plazo</w:t>
      </w:r>
      <w:r w:rsidRPr="001F6EEE">
        <w:rPr>
          <w:rFonts w:ascii="Segoe UI" w:eastAsia="Times New Roman" w:hAnsi="Segoe UI" w:cs="Segoe UI"/>
          <w:color w:val="555555"/>
          <w:sz w:val="24"/>
          <w:szCs w:val="24"/>
          <w:lang w:val="es-ES" w:eastAsia="es-ES"/>
        </w:rPr>
        <w:t xml:space="preserve">: el porcentaje del capital impagado asciende al 7%, mientras que las </w:t>
      </w:r>
      <w:r w:rsidRPr="001F6EEE">
        <w:rPr>
          <w:rFonts w:ascii="Segoe UI" w:eastAsia="Times New Roman" w:hAnsi="Segoe UI" w:cs="Segoe UI"/>
          <w:b/>
          <w:bCs/>
          <w:color w:val="555555"/>
          <w:sz w:val="24"/>
          <w:szCs w:val="24"/>
          <w:lang w:val="es-ES" w:eastAsia="es-ES"/>
        </w:rPr>
        <w:t>mensualidades en demora</w:t>
      </w:r>
      <w:r w:rsidRPr="001F6EEE">
        <w:rPr>
          <w:rFonts w:ascii="Segoe UI" w:eastAsia="Times New Roman" w:hAnsi="Segoe UI" w:cs="Segoe UI"/>
          <w:color w:val="555555"/>
          <w:sz w:val="24"/>
          <w:szCs w:val="24"/>
          <w:lang w:val="es-ES" w:eastAsia="es-ES"/>
        </w:rPr>
        <w:t xml:space="preserve"> mínimas son </w:t>
      </w:r>
      <w:r w:rsidRPr="001F6EEE">
        <w:rPr>
          <w:rFonts w:ascii="Segoe UI" w:eastAsia="Times New Roman" w:hAnsi="Segoe UI" w:cs="Segoe UI"/>
          <w:b/>
          <w:bCs/>
          <w:color w:val="555555"/>
          <w:sz w:val="24"/>
          <w:szCs w:val="24"/>
          <w:lang w:val="es-ES" w:eastAsia="es-ES"/>
        </w:rPr>
        <w:t>15</w:t>
      </w:r>
      <w:r w:rsidRPr="001F6EEE">
        <w:rPr>
          <w:rFonts w:ascii="Segoe UI" w:eastAsia="Times New Roman" w:hAnsi="Segoe UI" w:cs="Segoe UI"/>
          <w:color w:val="555555"/>
          <w:sz w:val="24"/>
          <w:szCs w:val="24"/>
          <w:lang w:val="es-ES" w:eastAsia="es-ES"/>
        </w:rPr>
        <w:t>.</w:t>
      </w:r>
    </w:p>
    <w:p w:rsidR="001F6EEE" w:rsidRPr="001F6EEE" w:rsidRDefault="001F6EEE" w:rsidP="001F6EEE">
      <w:pPr>
        <w:shd w:val="clear" w:color="auto" w:fill="FFFFFF"/>
        <w:spacing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 xml:space="preserve">Asimismo, se establece un </w:t>
      </w:r>
      <w:r w:rsidRPr="001F6EEE">
        <w:rPr>
          <w:rFonts w:ascii="Segoe UI" w:eastAsia="Times New Roman" w:hAnsi="Segoe UI" w:cs="Segoe UI"/>
          <w:b/>
          <w:bCs/>
          <w:color w:val="555555"/>
          <w:sz w:val="24"/>
          <w:szCs w:val="24"/>
          <w:lang w:val="es-ES" w:eastAsia="es-ES"/>
        </w:rPr>
        <w:t>interés de demora máximo de 3 puntos por encima del interés remuneratorio</w:t>
      </w:r>
      <w:r w:rsidRPr="001F6EEE">
        <w:rPr>
          <w:rFonts w:ascii="Segoe UI" w:eastAsia="Times New Roman" w:hAnsi="Segoe UI" w:cs="Segoe UI"/>
          <w:color w:val="555555"/>
          <w:sz w:val="24"/>
          <w:szCs w:val="24"/>
          <w:lang w:val="es-ES" w:eastAsia="es-ES"/>
        </w:rPr>
        <w:t>, es decir, del de la propia hipoteca.</w:t>
      </w:r>
    </w:p>
    <w:p w:rsidR="001F6EEE" w:rsidRPr="001F6EEE" w:rsidRDefault="001F6EEE" w:rsidP="001F6EEE">
      <w:pPr>
        <w:shd w:val="clear" w:color="auto" w:fill="FFFFFF"/>
        <w:spacing w:after="100" w:afterAutospacing="1" w:line="240" w:lineRule="auto"/>
        <w:outlineLvl w:val="1"/>
        <w:rPr>
          <w:rFonts w:ascii="inherit" w:eastAsia="Times New Roman" w:hAnsi="inherit" w:cs="Segoe UI"/>
          <w:color w:val="444444"/>
          <w:sz w:val="36"/>
          <w:szCs w:val="36"/>
          <w:lang w:val="es-ES" w:eastAsia="es-ES"/>
        </w:rPr>
      </w:pPr>
      <w:r w:rsidRPr="001F6EEE">
        <w:rPr>
          <w:rFonts w:ascii="inherit" w:eastAsia="Times New Roman" w:hAnsi="inherit" w:cs="Segoe UI"/>
          <w:color w:val="444444"/>
          <w:sz w:val="36"/>
          <w:szCs w:val="36"/>
          <w:lang w:val="es-ES" w:eastAsia="es-ES"/>
        </w:rPr>
        <w:t>6. Límites a los productos vinculados</w:t>
      </w:r>
    </w:p>
    <w:p w:rsidR="001F6EEE" w:rsidRPr="001F6EEE" w:rsidRDefault="001F6EEE" w:rsidP="001F6EEE">
      <w:pPr>
        <w:shd w:val="clear" w:color="auto" w:fill="FFFFFF"/>
        <w:spacing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 xml:space="preserve">Este es, seguramente, uno de los puntos peor comprendidos del proyecto de ley hipotecaria. La normativa prohíbe las ventas vinculadas, es decir, </w:t>
      </w:r>
      <w:r w:rsidRPr="001F6EEE">
        <w:rPr>
          <w:rFonts w:ascii="Segoe UI" w:eastAsia="Times New Roman" w:hAnsi="Segoe UI" w:cs="Segoe UI"/>
          <w:b/>
          <w:bCs/>
          <w:color w:val="555555"/>
          <w:sz w:val="24"/>
          <w:szCs w:val="24"/>
          <w:lang w:val="es-ES" w:eastAsia="es-ES"/>
        </w:rPr>
        <w:t xml:space="preserve">no permite que los bancos obliguen al cliente a contratar otros productos para poder acceder a sus hipotecas, </w:t>
      </w:r>
      <w:hyperlink r:id="rId10" w:history="1">
        <w:r w:rsidRPr="001F6EEE">
          <w:rPr>
            <w:rFonts w:ascii="Segoe UI" w:eastAsia="Times New Roman" w:hAnsi="Segoe UI" w:cs="Segoe UI"/>
            <w:b/>
            <w:bCs/>
            <w:color w:val="016799"/>
            <w:sz w:val="24"/>
            <w:szCs w:val="24"/>
            <w:lang w:val="es-ES" w:eastAsia="es-ES"/>
          </w:rPr>
          <w:t>como los seguros hipotecarios</w:t>
        </w:r>
      </w:hyperlink>
      <w:r w:rsidRPr="001F6EEE">
        <w:rPr>
          <w:rFonts w:ascii="Segoe UI" w:eastAsia="Times New Roman" w:hAnsi="Segoe UI" w:cs="Segoe UI"/>
          <w:b/>
          <w:bCs/>
          <w:color w:val="555555"/>
          <w:sz w:val="24"/>
          <w:szCs w:val="24"/>
          <w:lang w:val="es-ES" w:eastAsia="es-ES"/>
        </w:rPr>
        <w:t>, planes de pensiones, tarjetas de crédito, etc. </w:t>
      </w:r>
      <w:r w:rsidRPr="001F6EEE">
        <w:rPr>
          <w:rFonts w:ascii="Segoe UI" w:eastAsia="Times New Roman" w:hAnsi="Segoe UI" w:cs="Segoe UI"/>
          <w:color w:val="555555"/>
          <w:sz w:val="24"/>
          <w:szCs w:val="24"/>
          <w:lang w:val="es-ES" w:eastAsia="es-ES"/>
        </w:rPr>
        <w:t xml:space="preserve">Sin embargo, </w:t>
      </w:r>
      <w:r w:rsidRPr="001F6EEE">
        <w:rPr>
          <w:rFonts w:ascii="Segoe UI" w:eastAsia="Times New Roman" w:hAnsi="Segoe UI" w:cs="Segoe UI"/>
          <w:b/>
          <w:bCs/>
          <w:color w:val="555555"/>
          <w:sz w:val="24"/>
          <w:szCs w:val="24"/>
          <w:lang w:val="es-ES" w:eastAsia="es-ES"/>
        </w:rPr>
        <w:t>sí permite las combinadas</w:t>
      </w:r>
      <w:r w:rsidRPr="001F6EEE">
        <w:rPr>
          <w:rFonts w:ascii="Segoe UI" w:eastAsia="Times New Roman" w:hAnsi="Segoe UI" w:cs="Segoe UI"/>
          <w:color w:val="555555"/>
          <w:sz w:val="24"/>
          <w:szCs w:val="24"/>
          <w:lang w:val="es-ES" w:eastAsia="es-ES"/>
        </w:rPr>
        <w:t>, esto es, que la entidad se ofrezca a reducir el interés a cambio de que se suscriban varios de sus servicios.</w:t>
      </w:r>
    </w:p>
    <w:p w:rsidR="001F6EEE" w:rsidRPr="001F6EEE" w:rsidRDefault="001F6EEE" w:rsidP="001F6EEE">
      <w:pPr>
        <w:shd w:val="clear" w:color="auto" w:fill="FFFFFF"/>
        <w:spacing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 xml:space="preserve">Además, la prohibición de las ventas vinculadas prevé dos </w:t>
      </w:r>
      <w:r w:rsidRPr="001F6EEE">
        <w:rPr>
          <w:rFonts w:ascii="Segoe UI" w:eastAsia="Times New Roman" w:hAnsi="Segoe UI" w:cs="Segoe UI"/>
          <w:b/>
          <w:bCs/>
          <w:color w:val="555555"/>
          <w:sz w:val="24"/>
          <w:szCs w:val="24"/>
          <w:lang w:val="es-ES" w:eastAsia="es-ES"/>
        </w:rPr>
        <w:t>excepciones</w:t>
      </w:r>
      <w:r w:rsidRPr="001F6EEE">
        <w:rPr>
          <w:rFonts w:ascii="Segoe UI" w:eastAsia="Times New Roman" w:hAnsi="Segoe UI" w:cs="Segoe UI"/>
          <w:color w:val="555555"/>
          <w:sz w:val="24"/>
          <w:szCs w:val="24"/>
          <w:lang w:val="es-ES" w:eastAsia="es-ES"/>
        </w:rPr>
        <w:t>:</w:t>
      </w:r>
    </w:p>
    <w:p w:rsidR="001F6EEE" w:rsidRPr="001F6EEE" w:rsidRDefault="001F6EEE" w:rsidP="001F6EEE">
      <w:pPr>
        <w:numPr>
          <w:ilvl w:val="0"/>
          <w:numId w:val="6"/>
        </w:numPr>
        <w:shd w:val="clear" w:color="auto" w:fill="FFFFFF"/>
        <w:spacing w:after="100" w:afterAutospacing="1" w:line="240" w:lineRule="auto"/>
        <w:ind w:left="495"/>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 xml:space="preserve">Los bancos </w:t>
      </w:r>
      <w:r w:rsidRPr="001F6EEE">
        <w:rPr>
          <w:rFonts w:ascii="Segoe UI" w:eastAsia="Times New Roman" w:hAnsi="Segoe UI" w:cs="Segoe UI"/>
          <w:b/>
          <w:bCs/>
          <w:color w:val="555555"/>
          <w:sz w:val="24"/>
          <w:szCs w:val="24"/>
          <w:lang w:val="es-ES" w:eastAsia="es-ES"/>
        </w:rPr>
        <w:t>sí pueden exigir</w:t>
      </w:r>
      <w:r w:rsidRPr="001F6EEE">
        <w:rPr>
          <w:rFonts w:ascii="Segoe UI" w:eastAsia="Times New Roman" w:hAnsi="Segoe UI" w:cs="Segoe UI"/>
          <w:color w:val="555555"/>
          <w:sz w:val="24"/>
          <w:szCs w:val="24"/>
          <w:lang w:val="es-ES" w:eastAsia="es-ES"/>
        </w:rPr>
        <w:t xml:space="preserve"> que se contrate un </w:t>
      </w:r>
      <w:r w:rsidRPr="001F6EEE">
        <w:rPr>
          <w:rFonts w:ascii="Segoe UI" w:eastAsia="Times New Roman" w:hAnsi="Segoe UI" w:cs="Segoe UI"/>
          <w:b/>
          <w:bCs/>
          <w:color w:val="555555"/>
          <w:sz w:val="24"/>
          <w:szCs w:val="24"/>
          <w:lang w:val="es-ES" w:eastAsia="es-ES"/>
        </w:rPr>
        <w:t>seguro de hogar</w:t>
      </w:r>
      <w:r w:rsidRPr="001F6EEE">
        <w:rPr>
          <w:rFonts w:ascii="Segoe UI" w:eastAsia="Times New Roman" w:hAnsi="Segoe UI" w:cs="Segoe UI"/>
          <w:color w:val="555555"/>
          <w:sz w:val="24"/>
          <w:szCs w:val="24"/>
          <w:lang w:val="es-ES" w:eastAsia="es-ES"/>
        </w:rPr>
        <w:t xml:space="preserve"> y/o un </w:t>
      </w:r>
      <w:r w:rsidRPr="001F6EEE">
        <w:rPr>
          <w:rFonts w:ascii="Segoe UI" w:eastAsia="Times New Roman" w:hAnsi="Segoe UI" w:cs="Segoe UI"/>
          <w:b/>
          <w:bCs/>
          <w:color w:val="555555"/>
          <w:sz w:val="24"/>
          <w:szCs w:val="24"/>
          <w:lang w:val="es-ES" w:eastAsia="es-ES"/>
        </w:rPr>
        <w:t>seguro</w:t>
      </w:r>
      <w:r w:rsidRPr="001F6EEE">
        <w:rPr>
          <w:rFonts w:ascii="Segoe UI" w:eastAsia="Times New Roman" w:hAnsi="Segoe UI" w:cs="Segoe UI"/>
          <w:color w:val="555555"/>
          <w:sz w:val="24"/>
          <w:szCs w:val="24"/>
          <w:lang w:val="es-ES" w:eastAsia="es-ES"/>
        </w:rPr>
        <w:t xml:space="preserve"> </w:t>
      </w:r>
      <w:r w:rsidRPr="001F6EEE">
        <w:rPr>
          <w:rFonts w:ascii="Segoe UI" w:eastAsia="Times New Roman" w:hAnsi="Segoe UI" w:cs="Segoe UI"/>
          <w:b/>
          <w:bCs/>
          <w:color w:val="555555"/>
          <w:sz w:val="24"/>
          <w:szCs w:val="24"/>
          <w:lang w:val="es-ES" w:eastAsia="es-ES"/>
        </w:rPr>
        <w:t>de vida o de protección de pagos</w:t>
      </w:r>
      <w:r w:rsidRPr="001F6EEE">
        <w:rPr>
          <w:rFonts w:ascii="Segoe UI" w:eastAsia="Times New Roman" w:hAnsi="Segoe UI" w:cs="Segoe UI"/>
          <w:color w:val="555555"/>
          <w:sz w:val="24"/>
          <w:szCs w:val="24"/>
          <w:lang w:val="es-ES" w:eastAsia="es-ES"/>
        </w:rPr>
        <w:t>. Eso sí, el cliente puede suscribirlos con la empresa que quiera sin que la entidad pueda subirle el interés por ello.</w:t>
      </w:r>
    </w:p>
    <w:p w:rsidR="001F6EEE" w:rsidRPr="001F6EEE" w:rsidRDefault="001F6EEE" w:rsidP="001F6EEE">
      <w:pPr>
        <w:numPr>
          <w:ilvl w:val="0"/>
          <w:numId w:val="6"/>
        </w:numPr>
        <w:shd w:val="clear" w:color="auto" w:fill="FFFFFF"/>
        <w:spacing w:after="100" w:afterAutospacing="1" w:line="240" w:lineRule="auto"/>
        <w:ind w:left="495"/>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 xml:space="preserve">También pueden vincular la hipoteca a </w:t>
      </w:r>
      <w:r w:rsidRPr="001F6EEE">
        <w:rPr>
          <w:rFonts w:ascii="Segoe UI" w:eastAsia="Times New Roman" w:hAnsi="Segoe UI" w:cs="Segoe UI"/>
          <w:b/>
          <w:bCs/>
          <w:color w:val="555555"/>
          <w:sz w:val="24"/>
          <w:szCs w:val="24"/>
          <w:lang w:val="es-ES" w:eastAsia="es-ES"/>
        </w:rPr>
        <w:t>productos que se demuestren que benefician al cliente</w:t>
      </w:r>
      <w:r w:rsidRPr="001F6EEE">
        <w:rPr>
          <w:rFonts w:ascii="Segoe UI" w:eastAsia="Times New Roman" w:hAnsi="Segoe UI" w:cs="Segoe UI"/>
          <w:color w:val="555555"/>
          <w:sz w:val="24"/>
          <w:szCs w:val="24"/>
          <w:lang w:val="es-ES" w:eastAsia="es-ES"/>
        </w:rPr>
        <w:t>. Se da al Banco de España la potestad de decidir qué servicios se incluyen dentro de esa categoría.</w:t>
      </w:r>
    </w:p>
    <w:p w:rsidR="001F6EEE" w:rsidRPr="001F6EEE" w:rsidRDefault="001F6EEE" w:rsidP="001F6EEE">
      <w:pPr>
        <w:shd w:val="clear" w:color="auto" w:fill="FFFFFF"/>
        <w:spacing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En cuanto a las ventas combinadas, para que el cliente pueda comparar precios adecuadamente, se obliga a las entidades a facilitar dos ofertas por separado: una con la bonificación y otra sin ella.</w:t>
      </w:r>
    </w:p>
    <w:p w:rsidR="001F6EEE" w:rsidRPr="001F6EEE" w:rsidRDefault="001F6EEE" w:rsidP="001F6EEE">
      <w:pPr>
        <w:shd w:val="clear" w:color="auto" w:fill="FFFFFF"/>
        <w:spacing w:after="100" w:afterAutospacing="1" w:line="240" w:lineRule="auto"/>
        <w:outlineLvl w:val="1"/>
        <w:rPr>
          <w:rFonts w:ascii="inherit" w:eastAsia="Times New Roman" w:hAnsi="inherit" w:cs="Segoe UI"/>
          <w:color w:val="444444"/>
          <w:sz w:val="36"/>
          <w:szCs w:val="36"/>
          <w:lang w:val="es-ES" w:eastAsia="es-ES"/>
        </w:rPr>
      </w:pPr>
      <w:r w:rsidRPr="001F6EEE">
        <w:rPr>
          <w:rFonts w:ascii="inherit" w:eastAsia="Times New Roman" w:hAnsi="inherit" w:cs="Segoe UI"/>
          <w:color w:val="444444"/>
          <w:sz w:val="36"/>
          <w:szCs w:val="36"/>
          <w:lang w:val="es-ES" w:eastAsia="es-ES"/>
        </w:rPr>
        <w:t>7. Suelo del 0% por defecto</w:t>
      </w:r>
    </w:p>
    <w:p w:rsidR="001F6EEE" w:rsidRPr="001F6EEE" w:rsidRDefault="001F6EEE" w:rsidP="001F6EEE">
      <w:pPr>
        <w:shd w:val="clear" w:color="auto" w:fill="FFFFFF"/>
        <w:spacing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 xml:space="preserve">En la nueva regulación de las hipotecas </w:t>
      </w:r>
      <w:r w:rsidRPr="001F6EEE">
        <w:rPr>
          <w:rFonts w:ascii="Segoe UI" w:eastAsia="Times New Roman" w:hAnsi="Segoe UI" w:cs="Segoe UI"/>
          <w:b/>
          <w:bCs/>
          <w:color w:val="555555"/>
          <w:sz w:val="24"/>
          <w:szCs w:val="24"/>
          <w:lang w:val="es-ES" w:eastAsia="es-ES"/>
        </w:rPr>
        <w:t>se prohíbe específicamente</w:t>
      </w:r>
      <w:r w:rsidRPr="001F6EEE">
        <w:rPr>
          <w:rFonts w:ascii="Segoe UI" w:eastAsia="Times New Roman" w:hAnsi="Segoe UI" w:cs="Segoe UI"/>
          <w:color w:val="555555"/>
          <w:sz w:val="24"/>
          <w:szCs w:val="24"/>
          <w:lang w:val="es-ES" w:eastAsia="es-ES"/>
        </w:rPr>
        <w:t xml:space="preserve"> </w:t>
      </w:r>
      <w:r w:rsidRPr="001F6EEE">
        <w:rPr>
          <w:rFonts w:ascii="Segoe UI" w:eastAsia="Times New Roman" w:hAnsi="Segoe UI" w:cs="Segoe UI"/>
          <w:b/>
          <w:bCs/>
          <w:color w:val="555555"/>
          <w:sz w:val="24"/>
          <w:szCs w:val="24"/>
          <w:lang w:val="es-ES" w:eastAsia="es-ES"/>
        </w:rPr>
        <w:t>la aplicación de un interés mínimo</w:t>
      </w:r>
      <w:r w:rsidRPr="001F6EEE">
        <w:rPr>
          <w:rFonts w:ascii="Segoe UI" w:eastAsia="Times New Roman" w:hAnsi="Segoe UI" w:cs="Segoe UI"/>
          <w:color w:val="555555"/>
          <w:sz w:val="24"/>
          <w:szCs w:val="24"/>
          <w:lang w:val="es-ES" w:eastAsia="es-ES"/>
        </w:rPr>
        <w:t xml:space="preserve"> en las hipotecas variables. Por lo tanto, los bancos no pueden volver a incorporar nunca más las conocidas cláusulas suelo y tampoco se les permite considerar un </w:t>
      </w:r>
      <w:proofErr w:type="spellStart"/>
      <w:r w:rsidRPr="001F6EEE">
        <w:rPr>
          <w:rFonts w:ascii="Segoe UI" w:eastAsia="Times New Roman" w:hAnsi="Segoe UI" w:cs="Segoe UI"/>
          <w:color w:val="555555"/>
          <w:sz w:val="24"/>
          <w:szCs w:val="24"/>
          <w:lang w:val="es-ES" w:eastAsia="es-ES"/>
        </w:rPr>
        <w:t>euríbor</w:t>
      </w:r>
      <w:proofErr w:type="spellEnd"/>
      <w:r w:rsidRPr="001F6EEE">
        <w:rPr>
          <w:rFonts w:ascii="Segoe UI" w:eastAsia="Times New Roman" w:hAnsi="Segoe UI" w:cs="Segoe UI"/>
          <w:color w:val="555555"/>
          <w:sz w:val="24"/>
          <w:szCs w:val="24"/>
          <w:lang w:val="es-ES" w:eastAsia="es-ES"/>
        </w:rPr>
        <w:t xml:space="preserve"> al 0% cuando este cotice en negativo. Sin embargo, </w:t>
      </w:r>
      <w:r w:rsidRPr="001F6EEE">
        <w:rPr>
          <w:rFonts w:ascii="Segoe UI" w:eastAsia="Times New Roman" w:hAnsi="Segoe UI" w:cs="Segoe UI"/>
          <w:b/>
          <w:bCs/>
          <w:color w:val="555555"/>
          <w:sz w:val="24"/>
          <w:szCs w:val="24"/>
          <w:lang w:val="es-ES" w:eastAsia="es-ES"/>
        </w:rPr>
        <w:t>se establece por defecto un tipo mínimo del 0%</w:t>
      </w:r>
      <w:r w:rsidRPr="001F6EEE">
        <w:rPr>
          <w:rFonts w:ascii="Segoe UI" w:eastAsia="Times New Roman" w:hAnsi="Segoe UI" w:cs="Segoe UI"/>
          <w:color w:val="555555"/>
          <w:sz w:val="24"/>
          <w:szCs w:val="24"/>
          <w:lang w:val="es-ES" w:eastAsia="es-ES"/>
        </w:rPr>
        <w:t xml:space="preserve"> para todos los préstamos hipotecarios. </w:t>
      </w:r>
    </w:p>
    <w:p w:rsidR="001F6EEE" w:rsidRPr="001F6EEE" w:rsidRDefault="001F6EEE" w:rsidP="001F6EEE">
      <w:pPr>
        <w:shd w:val="clear" w:color="auto" w:fill="FFFFFF"/>
        <w:spacing w:after="100" w:afterAutospacing="1" w:line="240" w:lineRule="auto"/>
        <w:outlineLvl w:val="1"/>
        <w:rPr>
          <w:rFonts w:ascii="inherit" w:eastAsia="Times New Roman" w:hAnsi="inherit" w:cs="Segoe UI"/>
          <w:color w:val="444444"/>
          <w:sz w:val="36"/>
          <w:szCs w:val="36"/>
          <w:lang w:val="es-ES" w:eastAsia="es-ES"/>
        </w:rPr>
      </w:pPr>
      <w:r w:rsidRPr="001F6EEE">
        <w:rPr>
          <w:rFonts w:ascii="inherit" w:eastAsia="Times New Roman" w:hAnsi="inherit" w:cs="Segoe UI"/>
          <w:color w:val="444444"/>
          <w:sz w:val="36"/>
          <w:szCs w:val="36"/>
          <w:lang w:val="es-ES" w:eastAsia="es-ES"/>
        </w:rPr>
        <w:t xml:space="preserve">8. Se regulan las hipotecas </w:t>
      </w:r>
      <w:proofErr w:type="spellStart"/>
      <w:r w:rsidRPr="001F6EEE">
        <w:rPr>
          <w:rFonts w:ascii="inherit" w:eastAsia="Times New Roman" w:hAnsi="inherit" w:cs="Segoe UI"/>
          <w:color w:val="444444"/>
          <w:sz w:val="36"/>
          <w:szCs w:val="36"/>
          <w:lang w:val="es-ES" w:eastAsia="es-ES"/>
        </w:rPr>
        <w:t>multidivisa</w:t>
      </w:r>
      <w:proofErr w:type="spellEnd"/>
    </w:p>
    <w:p w:rsidR="001F6EEE" w:rsidRPr="001F6EEE" w:rsidRDefault="001F6EEE" w:rsidP="001F6EEE">
      <w:pPr>
        <w:shd w:val="clear" w:color="auto" w:fill="FFFFFF"/>
        <w:spacing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 xml:space="preserve">Las </w:t>
      </w:r>
      <w:hyperlink r:id="rId11" w:history="1">
        <w:r w:rsidRPr="001F6EEE">
          <w:rPr>
            <w:rFonts w:ascii="Segoe UI" w:eastAsia="Times New Roman" w:hAnsi="Segoe UI" w:cs="Segoe UI"/>
            <w:b/>
            <w:bCs/>
            <w:color w:val="016799"/>
            <w:sz w:val="24"/>
            <w:szCs w:val="24"/>
            <w:lang w:val="es-ES" w:eastAsia="es-ES"/>
          </w:rPr>
          <w:t xml:space="preserve">hipotecas </w:t>
        </w:r>
        <w:proofErr w:type="spellStart"/>
        <w:r w:rsidRPr="001F6EEE">
          <w:rPr>
            <w:rFonts w:ascii="Segoe UI" w:eastAsia="Times New Roman" w:hAnsi="Segoe UI" w:cs="Segoe UI"/>
            <w:b/>
            <w:bCs/>
            <w:color w:val="016799"/>
            <w:sz w:val="24"/>
            <w:szCs w:val="24"/>
            <w:lang w:val="es-ES" w:eastAsia="es-ES"/>
          </w:rPr>
          <w:t>multidivisa</w:t>
        </w:r>
        <w:proofErr w:type="spellEnd"/>
        <w:r w:rsidRPr="001F6EEE">
          <w:rPr>
            <w:rFonts w:ascii="Segoe UI" w:eastAsia="Times New Roman" w:hAnsi="Segoe UI" w:cs="Segoe UI"/>
            <w:b/>
            <w:bCs/>
            <w:color w:val="016799"/>
            <w:sz w:val="24"/>
            <w:szCs w:val="24"/>
            <w:lang w:val="es-ES" w:eastAsia="es-ES"/>
          </w:rPr>
          <w:t>, es decir, préstamos concedidos en otras monedas</w:t>
        </w:r>
      </w:hyperlink>
      <w:r w:rsidRPr="001F6EEE">
        <w:rPr>
          <w:rFonts w:ascii="Segoe UI" w:eastAsia="Times New Roman" w:hAnsi="Segoe UI" w:cs="Segoe UI"/>
          <w:color w:val="555555"/>
          <w:sz w:val="24"/>
          <w:szCs w:val="24"/>
          <w:lang w:val="es-ES" w:eastAsia="es-ES"/>
        </w:rPr>
        <w:t xml:space="preserve">, también tienen su protagonismo en la nueva ley. Los titulares de estos productos tienen </w:t>
      </w:r>
      <w:r w:rsidRPr="001F6EEE">
        <w:rPr>
          <w:rFonts w:ascii="Segoe UI" w:eastAsia="Times New Roman" w:hAnsi="Segoe UI" w:cs="Segoe UI"/>
          <w:b/>
          <w:bCs/>
          <w:color w:val="555555"/>
          <w:sz w:val="24"/>
          <w:szCs w:val="24"/>
          <w:lang w:val="es-ES" w:eastAsia="es-ES"/>
        </w:rPr>
        <w:t>el derecho de convertirlas a euros siempre que quieran</w:t>
      </w:r>
      <w:r w:rsidRPr="001F6EEE">
        <w:rPr>
          <w:rFonts w:ascii="Segoe UI" w:eastAsia="Times New Roman" w:hAnsi="Segoe UI" w:cs="Segoe UI"/>
          <w:color w:val="555555"/>
          <w:sz w:val="24"/>
          <w:szCs w:val="24"/>
          <w:lang w:val="es-ES" w:eastAsia="es-ES"/>
        </w:rPr>
        <w:t>. Además, los bancos deben informar periódicamente de los incrementos de la deuda que se produzcan por el aumento del valor de la divisa respecto al euro y, en caso de no existir un límite sobre ese riesgo, en la FEIN tiene que incluirse cómo aumentaría la deuda en caso de que el tipo de cambio sufriera una fluctuación del 20%.</w:t>
      </w:r>
    </w:p>
    <w:p w:rsidR="001F6EEE" w:rsidRPr="001F6EEE" w:rsidRDefault="001F6EEE" w:rsidP="001F6EEE">
      <w:pPr>
        <w:shd w:val="clear" w:color="auto" w:fill="FFFFFF"/>
        <w:spacing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 xml:space="preserve">Otro punto interesante sobre la regulación de estas hipotecas es que, </w:t>
      </w:r>
      <w:r w:rsidRPr="001F6EEE">
        <w:rPr>
          <w:rFonts w:ascii="Segoe UI" w:eastAsia="Times New Roman" w:hAnsi="Segoe UI" w:cs="Segoe UI"/>
          <w:b/>
          <w:bCs/>
          <w:color w:val="555555"/>
          <w:sz w:val="24"/>
          <w:szCs w:val="24"/>
          <w:lang w:val="es-ES" w:eastAsia="es-ES"/>
        </w:rPr>
        <w:t>si no se cumplen las exigencias mencionadas, el contrato se considerará nulo</w:t>
      </w:r>
      <w:r w:rsidRPr="001F6EEE">
        <w:rPr>
          <w:rFonts w:ascii="Segoe UI" w:eastAsia="Times New Roman" w:hAnsi="Segoe UI" w:cs="Segoe UI"/>
          <w:color w:val="555555"/>
          <w:sz w:val="24"/>
          <w:szCs w:val="24"/>
          <w:lang w:val="es-ES" w:eastAsia="es-ES"/>
        </w:rPr>
        <w:t>. En consecuencia, el titular podrá exigir que la hipoteca se pase a euros desde el principio y se le reste del capital pendiente todo lo que haya pagado de más con la otra moneda.</w:t>
      </w:r>
    </w:p>
    <w:p w:rsidR="001F6EEE" w:rsidRPr="001F6EEE" w:rsidRDefault="001F6EEE" w:rsidP="001F6EEE">
      <w:pPr>
        <w:shd w:val="clear" w:color="auto" w:fill="FFFFFF"/>
        <w:spacing w:after="100" w:afterAutospacing="1" w:line="240" w:lineRule="auto"/>
        <w:outlineLvl w:val="1"/>
        <w:rPr>
          <w:rFonts w:ascii="inherit" w:eastAsia="Times New Roman" w:hAnsi="inherit" w:cs="Segoe UI"/>
          <w:color w:val="444444"/>
          <w:sz w:val="36"/>
          <w:szCs w:val="36"/>
          <w:lang w:val="es-ES" w:eastAsia="es-ES"/>
        </w:rPr>
      </w:pPr>
      <w:r w:rsidRPr="001F6EEE">
        <w:rPr>
          <w:rFonts w:ascii="inherit" w:eastAsia="Times New Roman" w:hAnsi="inherit" w:cs="Segoe UI"/>
          <w:color w:val="444444"/>
          <w:sz w:val="36"/>
          <w:szCs w:val="36"/>
          <w:lang w:val="es-ES" w:eastAsia="es-ES"/>
        </w:rPr>
        <w:t>9. Más regulación para los intermediarios financieros</w:t>
      </w:r>
    </w:p>
    <w:p w:rsidR="001F6EEE" w:rsidRPr="001F6EEE" w:rsidRDefault="001F6EEE" w:rsidP="001F6EEE">
      <w:pPr>
        <w:shd w:val="clear" w:color="auto" w:fill="FFFFFF"/>
        <w:spacing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En la nueva ley hipotecaria también se dedica un capítulo entero a los intermediarios financieros (también llamados brókeres inmobiliarios) y a los prestamistas privados. Veamos cuáles son los puntos más destacados de este apartado:</w:t>
      </w:r>
    </w:p>
    <w:p w:rsidR="001F6EEE" w:rsidRPr="001F6EEE" w:rsidRDefault="001F6EEE" w:rsidP="001F6EEE">
      <w:pPr>
        <w:numPr>
          <w:ilvl w:val="0"/>
          <w:numId w:val="7"/>
        </w:numPr>
        <w:shd w:val="clear" w:color="auto" w:fill="FFFFFF"/>
        <w:spacing w:after="100" w:afterAutospacing="1" w:line="240" w:lineRule="auto"/>
        <w:ind w:left="495"/>
        <w:rPr>
          <w:rFonts w:ascii="Segoe UI" w:eastAsia="Times New Roman" w:hAnsi="Segoe UI" w:cs="Segoe UI"/>
          <w:color w:val="555555"/>
          <w:sz w:val="24"/>
          <w:szCs w:val="24"/>
          <w:lang w:val="es-ES" w:eastAsia="es-ES"/>
        </w:rPr>
      </w:pPr>
      <w:r w:rsidRPr="001F6EEE">
        <w:rPr>
          <w:rFonts w:ascii="Segoe UI" w:eastAsia="Times New Roman" w:hAnsi="Segoe UI" w:cs="Segoe UI"/>
          <w:b/>
          <w:bCs/>
          <w:color w:val="555555"/>
          <w:sz w:val="24"/>
          <w:szCs w:val="24"/>
          <w:lang w:val="es-ES" w:eastAsia="es-ES"/>
        </w:rPr>
        <w:t xml:space="preserve">Creación de un registro de intermediarios financieros </w:t>
      </w:r>
      <w:r w:rsidRPr="001F6EEE">
        <w:rPr>
          <w:rFonts w:ascii="Segoe UI" w:eastAsia="Times New Roman" w:hAnsi="Segoe UI" w:cs="Segoe UI"/>
          <w:color w:val="555555"/>
          <w:sz w:val="24"/>
          <w:szCs w:val="24"/>
          <w:lang w:val="es-ES" w:eastAsia="es-ES"/>
        </w:rPr>
        <w:t>gestionado por el Banco de España y por las Comunidades Autónomas (solo para aquellos que operen únicamente a nivel regional).</w:t>
      </w:r>
    </w:p>
    <w:p w:rsidR="001F6EEE" w:rsidRPr="001F6EEE" w:rsidRDefault="001F6EEE" w:rsidP="001F6EEE">
      <w:pPr>
        <w:numPr>
          <w:ilvl w:val="0"/>
          <w:numId w:val="7"/>
        </w:numPr>
        <w:shd w:val="clear" w:color="auto" w:fill="FFFFFF"/>
        <w:spacing w:after="100" w:afterAutospacing="1" w:line="240" w:lineRule="auto"/>
        <w:ind w:left="495"/>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 xml:space="preserve">Los intermediarios y prestamistas privados </w:t>
      </w:r>
      <w:r w:rsidRPr="001F6EEE">
        <w:rPr>
          <w:rFonts w:ascii="Segoe UI" w:eastAsia="Times New Roman" w:hAnsi="Segoe UI" w:cs="Segoe UI"/>
          <w:b/>
          <w:bCs/>
          <w:color w:val="555555"/>
          <w:sz w:val="24"/>
          <w:szCs w:val="24"/>
          <w:lang w:val="es-ES" w:eastAsia="es-ES"/>
        </w:rPr>
        <w:t xml:space="preserve">no pueden tener antecedentes delictivos ni haber sido declarados en concurso </w:t>
      </w:r>
      <w:r w:rsidRPr="001F6EEE">
        <w:rPr>
          <w:rFonts w:ascii="Segoe UI" w:eastAsia="Times New Roman" w:hAnsi="Segoe UI" w:cs="Segoe UI"/>
          <w:color w:val="555555"/>
          <w:sz w:val="24"/>
          <w:szCs w:val="24"/>
          <w:lang w:val="es-ES" w:eastAsia="es-ES"/>
        </w:rPr>
        <w:t>si quieren operar en España.</w:t>
      </w:r>
    </w:p>
    <w:p w:rsidR="001F6EEE" w:rsidRPr="001F6EEE" w:rsidRDefault="001F6EEE" w:rsidP="001F6EEE">
      <w:pPr>
        <w:numPr>
          <w:ilvl w:val="0"/>
          <w:numId w:val="7"/>
        </w:numPr>
        <w:shd w:val="clear" w:color="auto" w:fill="FFFFFF"/>
        <w:spacing w:after="100" w:afterAutospacing="1" w:line="240" w:lineRule="auto"/>
        <w:ind w:left="495"/>
        <w:rPr>
          <w:rFonts w:ascii="Segoe UI" w:eastAsia="Times New Roman" w:hAnsi="Segoe UI" w:cs="Segoe UI"/>
          <w:color w:val="555555"/>
          <w:sz w:val="24"/>
          <w:szCs w:val="24"/>
          <w:lang w:val="es-ES" w:eastAsia="es-ES"/>
        </w:rPr>
      </w:pPr>
      <w:r w:rsidRPr="001F6EEE">
        <w:rPr>
          <w:rFonts w:ascii="Segoe UI" w:eastAsia="Times New Roman" w:hAnsi="Segoe UI" w:cs="Segoe UI"/>
          <w:b/>
          <w:bCs/>
          <w:color w:val="555555"/>
          <w:sz w:val="24"/>
          <w:szCs w:val="24"/>
          <w:lang w:val="es-ES" w:eastAsia="es-ES"/>
        </w:rPr>
        <w:t xml:space="preserve">Su remuneración debe incluirse en la tasa anual equivalente </w:t>
      </w:r>
      <w:r w:rsidRPr="001F6EEE">
        <w:rPr>
          <w:rFonts w:ascii="Segoe UI" w:eastAsia="Times New Roman" w:hAnsi="Segoe UI" w:cs="Segoe UI"/>
          <w:color w:val="555555"/>
          <w:sz w:val="24"/>
          <w:szCs w:val="24"/>
          <w:lang w:val="es-ES" w:eastAsia="es-ES"/>
        </w:rPr>
        <w:t>de la hipoteca. Dicho de otra manera, no se puede ocultar la comisión por intermediación fuera del cálculo de la TAE.</w:t>
      </w:r>
    </w:p>
    <w:p w:rsidR="001F6EEE" w:rsidRPr="001F6EEE" w:rsidRDefault="001F6EEE" w:rsidP="001F6EEE">
      <w:pPr>
        <w:shd w:val="clear" w:color="auto" w:fill="FFFFFF"/>
        <w:spacing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La actividad de estas agencias y compañías será supervisada por el Banco de España, aunque las que solo trabajen en una región concreta estarán controladas por la comunidad autónoma correspondiente.</w:t>
      </w:r>
    </w:p>
    <w:p w:rsidR="001F6EEE" w:rsidRPr="001F6EEE" w:rsidRDefault="001F6EEE" w:rsidP="001F6EEE">
      <w:pPr>
        <w:shd w:val="clear" w:color="auto" w:fill="FFFFFF"/>
        <w:spacing w:after="100" w:afterAutospacing="1" w:line="240" w:lineRule="auto"/>
        <w:outlineLvl w:val="1"/>
        <w:rPr>
          <w:rFonts w:ascii="inherit" w:eastAsia="Times New Roman" w:hAnsi="inherit" w:cs="Segoe UI"/>
          <w:color w:val="444444"/>
          <w:sz w:val="36"/>
          <w:szCs w:val="36"/>
          <w:lang w:val="es-ES" w:eastAsia="es-ES"/>
        </w:rPr>
      </w:pPr>
      <w:r w:rsidRPr="001F6EEE">
        <w:rPr>
          <w:rFonts w:ascii="inherit" w:eastAsia="Times New Roman" w:hAnsi="inherit" w:cs="Segoe UI"/>
          <w:color w:val="444444"/>
          <w:sz w:val="36"/>
          <w:szCs w:val="36"/>
          <w:lang w:val="es-ES" w:eastAsia="es-ES"/>
        </w:rPr>
        <w:t>10. Nuevo organismo para resolver quejas y reclamaciones</w:t>
      </w:r>
    </w:p>
    <w:p w:rsidR="001F6EEE" w:rsidRPr="001F6EEE" w:rsidRDefault="001F6EEE" w:rsidP="001F6EEE">
      <w:pPr>
        <w:shd w:val="clear" w:color="auto" w:fill="FFFFFF"/>
        <w:spacing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 xml:space="preserve">Y para terminar, destacamos que </w:t>
      </w:r>
      <w:r w:rsidRPr="001F6EEE">
        <w:rPr>
          <w:rFonts w:ascii="Segoe UI" w:eastAsia="Times New Roman" w:hAnsi="Segoe UI" w:cs="Segoe UI"/>
          <w:b/>
          <w:bCs/>
          <w:color w:val="555555"/>
          <w:sz w:val="24"/>
          <w:szCs w:val="24"/>
          <w:lang w:val="es-ES" w:eastAsia="es-ES"/>
        </w:rPr>
        <w:t xml:space="preserve">las quejas y reclamaciones relacionadas con los préstamos hipotecarios se tramitarán a través de una nueva entidad de resolución de litigios </w:t>
      </w:r>
      <w:r w:rsidRPr="001F6EEE">
        <w:rPr>
          <w:rFonts w:ascii="Segoe UI" w:eastAsia="Times New Roman" w:hAnsi="Segoe UI" w:cs="Segoe UI"/>
          <w:color w:val="555555"/>
          <w:sz w:val="24"/>
          <w:szCs w:val="24"/>
          <w:lang w:val="es-ES" w:eastAsia="es-ES"/>
        </w:rPr>
        <w:t xml:space="preserve">de consumo en el sector financiero. Sin embargo, esta agencia todavía no ha empezado a funcionar, así que hasta entonces será el Servicio de Reclamaciones del </w:t>
      </w:r>
      <w:proofErr w:type="spellStart"/>
      <w:r w:rsidRPr="001F6EEE">
        <w:rPr>
          <w:rFonts w:ascii="Segoe UI" w:eastAsia="Times New Roman" w:hAnsi="Segoe UI" w:cs="Segoe UI"/>
          <w:color w:val="555555"/>
          <w:sz w:val="24"/>
          <w:szCs w:val="24"/>
          <w:lang w:val="es-ES" w:eastAsia="es-ES"/>
        </w:rPr>
        <w:t>BdE</w:t>
      </w:r>
      <w:proofErr w:type="spellEnd"/>
      <w:r w:rsidRPr="001F6EEE">
        <w:rPr>
          <w:rFonts w:ascii="Segoe UI" w:eastAsia="Times New Roman" w:hAnsi="Segoe UI" w:cs="Segoe UI"/>
          <w:color w:val="555555"/>
          <w:sz w:val="24"/>
          <w:szCs w:val="24"/>
          <w:lang w:val="es-ES" w:eastAsia="es-ES"/>
        </w:rPr>
        <w:t xml:space="preserve"> el encargado de gestionarlas.</w:t>
      </w:r>
    </w:p>
    <w:p w:rsidR="001F6EEE" w:rsidRPr="001F6EEE" w:rsidRDefault="001F6EEE" w:rsidP="001F6EEE">
      <w:pPr>
        <w:shd w:val="clear" w:color="auto" w:fill="FFFFFF"/>
        <w:spacing w:after="100" w:afterAutospacing="1" w:line="240" w:lineRule="auto"/>
        <w:outlineLvl w:val="1"/>
        <w:rPr>
          <w:rFonts w:ascii="inherit" w:eastAsia="Times New Roman" w:hAnsi="inherit" w:cs="Segoe UI"/>
          <w:color w:val="444444"/>
          <w:sz w:val="36"/>
          <w:szCs w:val="36"/>
          <w:lang w:val="es-ES" w:eastAsia="es-ES"/>
        </w:rPr>
      </w:pPr>
      <w:r w:rsidRPr="001F6EEE">
        <w:rPr>
          <w:rFonts w:ascii="inherit" w:eastAsia="Times New Roman" w:hAnsi="inherit" w:cs="Segoe UI"/>
          <w:color w:val="444444"/>
          <w:sz w:val="36"/>
          <w:szCs w:val="36"/>
          <w:lang w:val="es-ES" w:eastAsia="es-ES"/>
        </w:rPr>
        <w:t>¿La nueva ley hipotecaria es retroactiva?</w:t>
      </w:r>
    </w:p>
    <w:p w:rsidR="001F6EEE" w:rsidRPr="001F6EEE" w:rsidRDefault="001F6EEE" w:rsidP="001F6EEE">
      <w:pPr>
        <w:shd w:val="clear" w:color="auto" w:fill="FFFFFF"/>
        <w:spacing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b/>
          <w:bCs/>
          <w:color w:val="555555"/>
          <w:sz w:val="24"/>
          <w:szCs w:val="24"/>
          <w:lang w:val="es-ES" w:eastAsia="es-ES"/>
        </w:rPr>
        <w:t>Solo dos artículos muy concretos tienen carácter retroactivo</w:t>
      </w:r>
      <w:r w:rsidRPr="001F6EEE">
        <w:rPr>
          <w:rFonts w:ascii="Segoe UI" w:eastAsia="Times New Roman" w:hAnsi="Segoe UI" w:cs="Segoe UI"/>
          <w:color w:val="555555"/>
          <w:sz w:val="24"/>
          <w:szCs w:val="24"/>
          <w:lang w:val="es-ES" w:eastAsia="es-ES"/>
        </w:rPr>
        <w:t>: el que abarata el paso del tipo variable al fijo y el que establece cuándo se puede aplicar la cláusula de vencimiento anticipado. Por lo tanto, estas son las únicas medidas que también se aplicarán en los contratos formalizados antes de la entrada en vigor de la ley. Además, en el caso del vencimiento anticipado, los clientes que quieran podrán mantener la cláusula del contrato original si consideran que les resulta más conveniente. </w:t>
      </w:r>
    </w:p>
    <w:p w:rsidR="001F6EEE" w:rsidRPr="001F6EEE" w:rsidRDefault="001F6EEE" w:rsidP="001F6EEE">
      <w:pPr>
        <w:shd w:val="clear" w:color="auto" w:fill="FFFFFF"/>
        <w:spacing w:after="100" w:afterAutospacing="1" w:line="240" w:lineRule="auto"/>
        <w:rPr>
          <w:rFonts w:ascii="Segoe UI" w:eastAsia="Times New Roman" w:hAnsi="Segoe UI" w:cs="Segoe UI"/>
          <w:color w:val="555555"/>
          <w:sz w:val="24"/>
          <w:szCs w:val="24"/>
          <w:lang w:val="es-ES" w:eastAsia="es-ES"/>
        </w:rPr>
      </w:pPr>
      <w:r w:rsidRPr="001F6EEE">
        <w:rPr>
          <w:rFonts w:ascii="Segoe UI" w:eastAsia="Times New Roman" w:hAnsi="Segoe UI" w:cs="Segoe UI"/>
          <w:color w:val="555555"/>
          <w:sz w:val="24"/>
          <w:szCs w:val="24"/>
          <w:lang w:val="es-ES" w:eastAsia="es-ES"/>
        </w:rPr>
        <w:t xml:space="preserve">En cambio, </w:t>
      </w:r>
      <w:r w:rsidRPr="001F6EEE">
        <w:rPr>
          <w:rFonts w:ascii="Segoe UI" w:eastAsia="Times New Roman" w:hAnsi="Segoe UI" w:cs="Segoe UI"/>
          <w:b/>
          <w:bCs/>
          <w:color w:val="555555"/>
          <w:sz w:val="24"/>
          <w:szCs w:val="24"/>
          <w:lang w:val="es-ES" w:eastAsia="es-ES"/>
        </w:rPr>
        <w:t xml:space="preserve">el resto del </w:t>
      </w:r>
      <w:hyperlink r:id="rId12" w:tgtFrame="_blank" w:history="1">
        <w:r w:rsidRPr="001F6EEE">
          <w:rPr>
            <w:rFonts w:ascii="Segoe UI" w:eastAsia="Times New Roman" w:hAnsi="Segoe UI" w:cs="Segoe UI"/>
            <w:b/>
            <w:bCs/>
            <w:color w:val="016799"/>
            <w:sz w:val="24"/>
            <w:szCs w:val="24"/>
            <w:lang w:val="es-ES" w:eastAsia="es-ES"/>
          </w:rPr>
          <w:t>contenido de la Ley de Contratos de Crédito Inmobiliario</w:t>
        </w:r>
      </w:hyperlink>
      <w:r w:rsidRPr="001F6EEE">
        <w:rPr>
          <w:rFonts w:ascii="Segoe UI" w:eastAsia="Times New Roman" w:hAnsi="Segoe UI" w:cs="Segoe UI"/>
          <w:b/>
          <w:bCs/>
          <w:color w:val="555555"/>
          <w:sz w:val="24"/>
          <w:szCs w:val="24"/>
          <w:lang w:val="es-ES" w:eastAsia="es-ES"/>
        </w:rPr>
        <w:t xml:space="preserve"> no tiene carácter retroactivo</w:t>
      </w:r>
      <w:r w:rsidRPr="001F6EEE">
        <w:rPr>
          <w:rFonts w:ascii="Segoe UI" w:eastAsia="Times New Roman" w:hAnsi="Segoe UI" w:cs="Segoe UI"/>
          <w:color w:val="555555"/>
          <w:sz w:val="24"/>
          <w:szCs w:val="24"/>
          <w:lang w:val="es-ES" w:eastAsia="es-ES"/>
        </w:rPr>
        <w:t xml:space="preserve">, así que tiene validez únicamente para las hipotecas formalizadas a partir de su entrada en vigor, que se producirá </w:t>
      </w:r>
      <w:r w:rsidRPr="001F6EEE">
        <w:rPr>
          <w:rFonts w:ascii="Segoe UI" w:eastAsia="Times New Roman" w:hAnsi="Segoe UI" w:cs="Segoe UI"/>
          <w:b/>
          <w:color w:val="555555"/>
          <w:sz w:val="24"/>
          <w:szCs w:val="24"/>
          <w:lang w:val="es-ES" w:eastAsia="es-ES"/>
        </w:rPr>
        <w:t>el 16 de junio</w:t>
      </w:r>
      <w:r w:rsidRPr="001F6EEE">
        <w:rPr>
          <w:rFonts w:ascii="Segoe UI" w:eastAsia="Times New Roman" w:hAnsi="Segoe UI" w:cs="Segoe UI"/>
          <w:color w:val="555555"/>
          <w:sz w:val="24"/>
          <w:szCs w:val="24"/>
          <w:lang w:val="es-ES" w:eastAsia="es-ES"/>
        </w:rPr>
        <w:t>.</w:t>
      </w:r>
    </w:p>
    <w:p w:rsidR="00FC2980" w:rsidRDefault="00FC2980"/>
    <w:sectPr w:rsidR="00FC2980" w:rsidSect="00FC29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4E15"/>
    <w:multiLevelType w:val="multilevel"/>
    <w:tmpl w:val="7EC4B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04D71"/>
    <w:multiLevelType w:val="multilevel"/>
    <w:tmpl w:val="38DC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8635C7"/>
    <w:multiLevelType w:val="multilevel"/>
    <w:tmpl w:val="8706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32717"/>
    <w:multiLevelType w:val="multilevel"/>
    <w:tmpl w:val="D31A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A120B8"/>
    <w:multiLevelType w:val="multilevel"/>
    <w:tmpl w:val="DEC6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9F3E82"/>
    <w:multiLevelType w:val="multilevel"/>
    <w:tmpl w:val="6CCA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7B15F4"/>
    <w:multiLevelType w:val="multilevel"/>
    <w:tmpl w:val="DF28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savePreviewPicture/>
  <w:compat/>
  <w:rsids>
    <w:rsidRoot w:val="001F6EEE"/>
    <w:rsid w:val="001F6EEE"/>
    <w:rsid w:val="009B0223"/>
    <w:rsid w:val="00B7103D"/>
    <w:rsid w:val="00FC29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80"/>
    <w:rPr>
      <w:lang w:val="es-ES_tradnl"/>
    </w:rPr>
  </w:style>
  <w:style w:type="paragraph" w:styleId="Ttulo2">
    <w:name w:val="heading 2"/>
    <w:basedOn w:val="Normal"/>
    <w:link w:val="Ttulo2Car"/>
    <w:uiPriority w:val="9"/>
    <w:qFormat/>
    <w:rsid w:val="001F6EEE"/>
    <w:pPr>
      <w:spacing w:after="100" w:afterAutospacing="1" w:line="240" w:lineRule="auto"/>
      <w:outlineLvl w:val="1"/>
    </w:pPr>
    <w:rPr>
      <w:rFonts w:ascii="inherit" w:eastAsia="Times New Roman" w:hAnsi="inherit" w:cs="Times New Roman"/>
      <w:color w:val="444444"/>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F6EEE"/>
    <w:rPr>
      <w:rFonts w:ascii="inherit" w:eastAsia="Times New Roman" w:hAnsi="inherit" w:cs="Times New Roman"/>
      <w:color w:val="444444"/>
      <w:sz w:val="36"/>
      <w:szCs w:val="36"/>
      <w:lang w:eastAsia="es-ES"/>
    </w:rPr>
  </w:style>
  <w:style w:type="character" w:styleId="Hipervnculo">
    <w:name w:val="Hyperlink"/>
    <w:basedOn w:val="Fuentedeprrafopredeter"/>
    <w:uiPriority w:val="99"/>
    <w:semiHidden/>
    <w:unhideWhenUsed/>
    <w:rsid w:val="001F6EEE"/>
    <w:rPr>
      <w:strike w:val="0"/>
      <w:dstrike w:val="0"/>
      <w:color w:val="016799"/>
      <w:u w:val="none"/>
      <w:effect w:val="none"/>
      <w:shd w:val="clear" w:color="auto" w:fill="auto"/>
    </w:rPr>
  </w:style>
  <w:style w:type="character" w:styleId="Textoennegrita">
    <w:name w:val="Strong"/>
    <w:basedOn w:val="Fuentedeprrafopredeter"/>
    <w:uiPriority w:val="22"/>
    <w:qFormat/>
    <w:rsid w:val="001F6EEE"/>
    <w:rPr>
      <w:b/>
      <w:bCs/>
    </w:rPr>
  </w:style>
  <w:style w:type="paragraph" w:styleId="NormalWeb">
    <w:name w:val="Normal (Web)"/>
    <w:basedOn w:val="Normal"/>
    <w:uiPriority w:val="99"/>
    <w:semiHidden/>
    <w:unhideWhenUsed/>
    <w:rsid w:val="001F6EEE"/>
    <w:pPr>
      <w:spacing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737195366">
      <w:bodyDiv w:val="1"/>
      <w:marLeft w:val="0"/>
      <w:marRight w:val="0"/>
      <w:marTop w:val="0"/>
      <w:marBottom w:val="0"/>
      <w:divBdr>
        <w:top w:val="none" w:sz="0" w:space="0" w:color="auto"/>
        <w:left w:val="none" w:sz="0" w:space="0" w:color="auto"/>
        <w:bottom w:val="none" w:sz="0" w:space="0" w:color="auto"/>
        <w:right w:val="none" w:sz="0" w:space="0" w:color="auto"/>
      </w:divBdr>
      <w:divsChild>
        <w:div w:id="1392654616">
          <w:marLeft w:val="0"/>
          <w:marRight w:val="0"/>
          <w:marTop w:val="0"/>
          <w:marBottom w:val="0"/>
          <w:divBdr>
            <w:top w:val="none" w:sz="0" w:space="0" w:color="auto"/>
            <w:left w:val="none" w:sz="0" w:space="0" w:color="auto"/>
            <w:bottom w:val="none" w:sz="0" w:space="0" w:color="auto"/>
            <w:right w:val="none" w:sz="0" w:space="0" w:color="auto"/>
          </w:divBdr>
          <w:divsChild>
            <w:div w:id="876892301">
              <w:marLeft w:val="0"/>
              <w:marRight w:val="0"/>
              <w:marTop w:val="0"/>
              <w:marBottom w:val="0"/>
              <w:divBdr>
                <w:top w:val="none" w:sz="0" w:space="0" w:color="auto"/>
                <w:left w:val="none" w:sz="0" w:space="0" w:color="auto"/>
                <w:bottom w:val="none" w:sz="0" w:space="0" w:color="auto"/>
                <w:right w:val="none" w:sz="0" w:space="0" w:color="auto"/>
              </w:divBdr>
              <w:divsChild>
                <w:div w:id="616105175">
                  <w:marLeft w:val="-225"/>
                  <w:marRight w:val="-225"/>
                  <w:marTop w:val="0"/>
                  <w:marBottom w:val="0"/>
                  <w:divBdr>
                    <w:top w:val="none" w:sz="0" w:space="0" w:color="auto"/>
                    <w:left w:val="none" w:sz="0" w:space="0" w:color="auto"/>
                    <w:bottom w:val="none" w:sz="0" w:space="0" w:color="auto"/>
                    <w:right w:val="none" w:sz="0" w:space="0" w:color="auto"/>
                  </w:divBdr>
                  <w:divsChild>
                    <w:div w:id="661617643">
                      <w:marLeft w:val="0"/>
                      <w:marRight w:val="0"/>
                      <w:marTop w:val="0"/>
                      <w:marBottom w:val="0"/>
                      <w:divBdr>
                        <w:top w:val="none" w:sz="0" w:space="0" w:color="auto"/>
                        <w:left w:val="none" w:sz="0" w:space="0" w:color="auto"/>
                        <w:bottom w:val="none" w:sz="0" w:space="0" w:color="auto"/>
                        <w:right w:val="none" w:sz="0" w:space="0" w:color="auto"/>
                      </w:divBdr>
                      <w:divsChild>
                        <w:div w:id="934241338">
                          <w:marLeft w:val="0"/>
                          <w:marRight w:val="0"/>
                          <w:marTop w:val="0"/>
                          <w:marBottom w:val="0"/>
                          <w:divBdr>
                            <w:top w:val="none" w:sz="0" w:space="0" w:color="auto"/>
                            <w:left w:val="none" w:sz="0" w:space="0" w:color="auto"/>
                            <w:bottom w:val="none" w:sz="0" w:space="0" w:color="auto"/>
                            <w:right w:val="none" w:sz="0" w:space="0" w:color="auto"/>
                          </w:divBdr>
                          <w:divsChild>
                            <w:div w:id="1673025610">
                              <w:marLeft w:val="0"/>
                              <w:marRight w:val="0"/>
                              <w:marTop w:val="0"/>
                              <w:marBottom w:val="0"/>
                              <w:divBdr>
                                <w:top w:val="none" w:sz="0" w:space="0" w:color="auto"/>
                                <w:left w:val="none" w:sz="0" w:space="0" w:color="auto"/>
                                <w:bottom w:val="none" w:sz="0" w:space="0" w:color="auto"/>
                                <w:right w:val="none" w:sz="0" w:space="0" w:color="auto"/>
                              </w:divBdr>
                            </w:div>
                            <w:div w:id="7204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lpmycash.com/hipotecas/amortizar-hipote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pmycash.com/hipotecas/hipotecas-interes-fijo/" TargetMode="External"/><Relationship Id="rId12" Type="http://schemas.openxmlformats.org/officeDocument/2006/relationships/hyperlink" Target="https://www.boe.es/diario_boe/txt.php?id=BOE-A-2019-38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pmycash.com/hipotecas/subrogacion-hipoteca/" TargetMode="External"/><Relationship Id="rId11" Type="http://schemas.openxmlformats.org/officeDocument/2006/relationships/hyperlink" Target="https://www.helpmycash.com/hipotecas/hipoteca-multidivisa/" TargetMode="External"/><Relationship Id="rId5" Type="http://schemas.openxmlformats.org/officeDocument/2006/relationships/hyperlink" Target="https://www.helpmycash.com/hipotecas/gastos-hipoteca/" TargetMode="External"/><Relationship Id="rId10" Type="http://schemas.openxmlformats.org/officeDocument/2006/relationships/hyperlink" Target="https://www.helpmycash.com/hipotecas/seguro-hipotecario/" TargetMode="External"/><Relationship Id="rId4" Type="http://schemas.openxmlformats.org/officeDocument/2006/relationships/webSettings" Target="webSettings.xml"/><Relationship Id="rId9" Type="http://schemas.openxmlformats.org/officeDocument/2006/relationships/hyperlink" Target="https://www.helpmycash.com/hipotecas/clausula-vencimiento-anticipad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1640</Words>
  <Characters>9023</Characters>
  <Application>Microsoft Office Word</Application>
  <DocSecurity>0</DocSecurity>
  <Lines>75</Lines>
  <Paragraphs>21</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
      <vt:lpstr>    Nuevo reparto de los gastos de hipoteca</vt:lpstr>
      <vt:lpstr>    </vt:lpstr>
      <vt:lpstr>    2. Mayor protección al consumidor</vt:lpstr>
      <vt:lpstr>    3. La amortización anticipada, más barata</vt:lpstr>
      <vt:lpstr>    4. Incentivos para pasarse al tipo fijo</vt:lpstr>
      <vt:lpstr>    5. Mínimo de 12 impagos para que se embargue la casa</vt:lpstr>
      <vt:lpstr>    6. Límites a los productos vinculados</vt:lpstr>
      <vt:lpstr>    7. Suelo del 0% por defecto</vt:lpstr>
      <vt:lpstr>    8. Se regulan las hipotecas multidivisa</vt:lpstr>
      <vt:lpstr>    9. Más regulación para los intermediarios financieros</vt:lpstr>
      <vt:lpstr>    10. Nuevo organismo para resolver quejas y reclamaciones</vt:lpstr>
      <vt:lpstr>    ¿La nueva ley hipotecaria es retroactiva?</vt:lpstr>
    </vt:vector>
  </TitlesOfParts>
  <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1</cp:revision>
  <dcterms:created xsi:type="dcterms:W3CDTF">2019-05-09T10:41:00Z</dcterms:created>
  <dcterms:modified xsi:type="dcterms:W3CDTF">2019-05-09T11:22:00Z</dcterms:modified>
</cp:coreProperties>
</file>